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6"/>
        <w:rPr>
          <w:rFonts w:ascii="Times New Roman"/>
          <w:sz w:val="18"/>
        </w:rPr>
      </w:pPr>
    </w:p>
    <w:p>
      <w:pPr>
        <w:spacing w:before="38" w:line="340" w:lineRule="auto"/>
        <w:ind w:left="524" w:right="521" w:firstLine="0"/>
        <w:jc w:val="center"/>
        <w:rPr>
          <w:rFonts w:hint="eastAsia" w:ascii="黑体" w:hAnsi="黑体" w:eastAsia="黑体"/>
          <w:sz w:val="44"/>
        </w:rPr>
      </w:pPr>
      <w:r>
        <w:rPr>
          <w:rFonts w:hint="eastAsia" w:ascii="黑体" w:hAnsi="黑体" w:eastAsia="黑体"/>
          <w:sz w:val="44"/>
        </w:rPr>
        <w:t xml:space="preserve">《质量分级及“领跑者”评价要求 </w:t>
      </w:r>
      <w:r>
        <w:rPr>
          <w:rFonts w:hint="eastAsia" w:ascii="黑体" w:hAnsi="黑体" w:eastAsia="黑体"/>
          <w:sz w:val="44"/>
          <w:lang w:val="en-US" w:eastAsia="zh-CN"/>
        </w:rPr>
        <w:t>托盘租赁服务</w:t>
      </w:r>
      <w:r>
        <w:rPr>
          <w:rFonts w:hint="eastAsia" w:ascii="黑体" w:hAnsi="黑体" w:eastAsia="黑体"/>
          <w:sz w:val="44"/>
        </w:rPr>
        <w:t>》</w:t>
      </w:r>
    </w:p>
    <w:p>
      <w:pPr>
        <w:spacing w:before="38" w:line="340" w:lineRule="auto"/>
        <w:ind w:left="524" w:right="521" w:firstLine="0"/>
        <w:jc w:val="center"/>
        <w:rPr>
          <w:rFonts w:hint="eastAsia" w:ascii="黑体" w:hAnsi="黑体" w:eastAsia="黑体"/>
          <w:sz w:val="44"/>
        </w:rPr>
      </w:pPr>
      <w:r>
        <w:rPr>
          <w:rFonts w:hint="eastAsia" w:ascii="黑体" w:hAnsi="黑体" w:eastAsia="黑体"/>
          <w:sz w:val="44"/>
        </w:rPr>
        <w:t>（征求意见稿） 编制说明</w:t>
      </w:r>
    </w:p>
    <w:p>
      <w:pPr>
        <w:pStyle w:val="3"/>
        <w:rPr>
          <w:rFonts w:ascii="黑体"/>
          <w:sz w:val="44"/>
        </w:rPr>
      </w:pPr>
    </w:p>
    <w:p>
      <w:pPr>
        <w:pStyle w:val="3"/>
        <w:rPr>
          <w:rFonts w:ascii="黑体"/>
          <w:sz w:val="44"/>
        </w:rPr>
      </w:pPr>
    </w:p>
    <w:p>
      <w:pPr>
        <w:pStyle w:val="3"/>
        <w:rPr>
          <w:rFonts w:ascii="黑体"/>
          <w:sz w:val="44"/>
        </w:rPr>
      </w:pPr>
    </w:p>
    <w:p>
      <w:pPr>
        <w:pStyle w:val="3"/>
        <w:rPr>
          <w:rFonts w:ascii="黑体"/>
          <w:sz w:val="44"/>
        </w:rPr>
      </w:pPr>
    </w:p>
    <w:p>
      <w:pPr>
        <w:pStyle w:val="3"/>
        <w:rPr>
          <w:rFonts w:ascii="黑体"/>
          <w:sz w:val="44"/>
        </w:rPr>
      </w:pPr>
    </w:p>
    <w:p>
      <w:pPr>
        <w:pStyle w:val="3"/>
        <w:rPr>
          <w:rFonts w:ascii="黑体"/>
          <w:sz w:val="44"/>
        </w:rPr>
      </w:pPr>
    </w:p>
    <w:p>
      <w:pPr>
        <w:pStyle w:val="3"/>
        <w:rPr>
          <w:rFonts w:ascii="黑体"/>
          <w:sz w:val="44"/>
        </w:rPr>
      </w:pPr>
    </w:p>
    <w:p>
      <w:pPr>
        <w:pStyle w:val="3"/>
        <w:rPr>
          <w:rFonts w:ascii="黑体"/>
          <w:sz w:val="44"/>
        </w:rPr>
      </w:pPr>
    </w:p>
    <w:p>
      <w:pPr>
        <w:pStyle w:val="3"/>
        <w:rPr>
          <w:rFonts w:ascii="黑体"/>
          <w:sz w:val="44"/>
        </w:rPr>
      </w:pPr>
    </w:p>
    <w:p>
      <w:pPr>
        <w:pStyle w:val="3"/>
        <w:rPr>
          <w:rFonts w:ascii="黑体"/>
          <w:sz w:val="44"/>
        </w:rPr>
      </w:pPr>
    </w:p>
    <w:p>
      <w:pPr>
        <w:pStyle w:val="3"/>
        <w:rPr>
          <w:rFonts w:ascii="黑体"/>
          <w:sz w:val="44"/>
        </w:rPr>
      </w:pPr>
    </w:p>
    <w:p>
      <w:pPr>
        <w:pStyle w:val="3"/>
        <w:rPr>
          <w:rFonts w:ascii="黑体"/>
          <w:sz w:val="44"/>
        </w:rPr>
      </w:pPr>
    </w:p>
    <w:p>
      <w:pPr>
        <w:pStyle w:val="3"/>
        <w:rPr>
          <w:rFonts w:ascii="黑体"/>
          <w:sz w:val="44"/>
        </w:rPr>
      </w:pPr>
    </w:p>
    <w:p>
      <w:pPr>
        <w:pStyle w:val="3"/>
        <w:spacing w:before="8"/>
        <w:rPr>
          <w:rFonts w:ascii="黑体"/>
          <w:sz w:val="47"/>
        </w:rPr>
      </w:pPr>
    </w:p>
    <w:p>
      <w:pPr>
        <w:spacing w:after="0" w:line="266" w:lineRule="auto"/>
        <w:jc w:val="center"/>
        <w:rPr>
          <w:rFonts w:hint="eastAsia" w:ascii="黑体" w:eastAsia="黑体"/>
          <w:sz w:val="44"/>
        </w:rPr>
        <w:sectPr>
          <w:type w:val="continuous"/>
          <w:pgSz w:w="11910" w:h="16840"/>
          <w:pgMar w:top="1580" w:right="1360" w:bottom="280" w:left="1360" w:header="720" w:footer="720" w:gutter="0"/>
          <w:cols w:space="720" w:num="1"/>
        </w:sectPr>
      </w:pPr>
    </w:p>
    <w:p>
      <w:pPr>
        <w:tabs>
          <w:tab w:val="left" w:pos="719"/>
        </w:tabs>
        <w:spacing w:before="22"/>
        <w:ind w:left="0" w:right="1"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次</w:t>
      </w:r>
    </w:p>
    <w:sdt>
      <w:sdtPr>
        <w:rPr>
          <w:rFonts w:ascii="宋体" w:hAnsi="宋体" w:eastAsia="宋体" w:cs="宋体"/>
          <w:sz w:val="21"/>
          <w:szCs w:val="22"/>
          <w:lang w:val="zh-CN" w:eastAsia="zh-CN" w:bidi="zh-CN"/>
        </w:rPr>
        <w:id w:val="147476214"/>
        <w15:color w:val="DBDBDB"/>
        <w:docPartObj>
          <w:docPartGallery w:val="Table of Contents"/>
          <w:docPartUnique/>
        </w:docPartObj>
      </w:sdtPr>
      <w:sdtEndPr>
        <w:rPr>
          <w:rFonts w:ascii="宋体" w:hAnsi="宋体" w:eastAsia="宋体" w:cs="宋体"/>
          <w:sz w:val="22"/>
          <w:szCs w:val="22"/>
          <w:lang w:val="zh-CN" w:eastAsia="zh-CN" w:bidi="zh-CN"/>
        </w:rPr>
      </w:sdtEndPr>
      <w:sdtContent>
        <w:p>
          <w:pPr>
            <w:pStyle w:val="19"/>
            <w:tabs>
              <w:tab w:val="right" w:leader="dot" w:pos="9190"/>
            </w:tabs>
            <w:spacing w:after="0"/>
            <w:rPr>
              <w:rFonts w:asciiTheme="minorHAnsi" w:hAnsiTheme="minorHAnsi" w:eastAsiaTheme="minorHAnsi" w:cstheme="minorBidi"/>
              <w:sz w:val="20"/>
              <w:szCs w:val="20"/>
            </w:rPr>
          </w:pPr>
          <w:r>
            <w:fldChar w:fldCharType="begin"/>
          </w:r>
          <w:r>
            <w:instrText xml:space="preserve">TOC \o "1-1" \h \u </w:instrText>
          </w:r>
          <w:r>
            <w:fldChar w:fldCharType="separate"/>
          </w:r>
        </w:p>
        <w:p>
          <w:pPr>
            <w:pStyle w:val="5"/>
            <w:tabs>
              <w:tab w:val="right" w:leader="dot" w:pos="9190"/>
            </w:tabs>
          </w:pPr>
          <w:r>
            <w:fldChar w:fldCharType="begin"/>
          </w:r>
          <w:r>
            <w:instrText xml:space="preserve"> HYPERLINK \l _Toc30161 </w:instrText>
          </w:r>
          <w:r>
            <w:fldChar w:fldCharType="separate"/>
          </w:r>
          <w:r>
            <w:rPr>
              <w:rFonts w:hint="eastAsia" w:ascii="黑体" w:hAnsi="黑体" w:eastAsia="黑体" w:cs="黑体"/>
              <w:bCs/>
              <w:w w:val="95"/>
            </w:rPr>
            <w:t>一、</w:t>
          </w:r>
          <w:r>
            <w:rPr>
              <w:rFonts w:hint="eastAsia" w:ascii="黑体" w:hAnsi="黑体" w:eastAsia="黑体" w:cs="黑体"/>
              <w:bCs/>
              <w:w w:val="95"/>
              <w:lang w:val="en-US" w:eastAsia="zh-CN"/>
            </w:rPr>
            <w:t>项目来源</w:t>
          </w:r>
          <w:r>
            <w:tab/>
          </w:r>
          <w:r>
            <w:fldChar w:fldCharType="begin"/>
          </w:r>
          <w:r>
            <w:instrText xml:space="preserve"> PAGEREF _Toc30161 \h </w:instrText>
          </w:r>
          <w:r>
            <w:fldChar w:fldCharType="separate"/>
          </w:r>
          <w:r>
            <w:t>3</w:t>
          </w:r>
          <w:r>
            <w:fldChar w:fldCharType="end"/>
          </w:r>
          <w:r>
            <w:fldChar w:fldCharType="end"/>
          </w:r>
        </w:p>
        <w:p>
          <w:pPr>
            <w:pStyle w:val="5"/>
            <w:tabs>
              <w:tab w:val="right" w:leader="dot" w:pos="9190"/>
            </w:tabs>
          </w:pPr>
          <w:r>
            <w:fldChar w:fldCharType="begin"/>
          </w:r>
          <w:r>
            <w:instrText xml:space="preserve"> HYPERLINK \l _Toc23186 </w:instrText>
          </w:r>
          <w:r>
            <w:fldChar w:fldCharType="separate"/>
          </w:r>
          <w:r>
            <w:rPr>
              <w:rFonts w:hint="eastAsia" w:ascii="黑体" w:hAnsi="黑体" w:eastAsia="黑体" w:cs="黑体"/>
              <w:spacing w:val="-3"/>
              <w:szCs w:val="32"/>
              <w:lang w:val="en-US" w:eastAsia="zh-CN"/>
            </w:rPr>
            <w:t>二、 名称变更</w:t>
          </w:r>
          <w:r>
            <w:tab/>
          </w:r>
          <w:r>
            <w:fldChar w:fldCharType="begin"/>
          </w:r>
          <w:r>
            <w:instrText xml:space="preserve"> PAGEREF _Toc23186 \h </w:instrText>
          </w:r>
          <w:r>
            <w:fldChar w:fldCharType="separate"/>
          </w:r>
          <w:r>
            <w:t>3</w:t>
          </w:r>
          <w:r>
            <w:fldChar w:fldCharType="end"/>
          </w:r>
          <w:r>
            <w:fldChar w:fldCharType="end"/>
          </w:r>
        </w:p>
        <w:p>
          <w:pPr>
            <w:pStyle w:val="5"/>
            <w:tabs>
              <w:tab w:val="right" w:leader="dot" w:pos="9190"/>
            </w:tabs>
          </w:pPr>
          <w:r>
            <w:fldChar w:fldCharType="begin"/>
          </w:r>
          <w:r>
            <w:instrText xml:space="preserve"> HYPERLINK \l _Toc1284 </w:instrText>
          </w:r>
          <w:r>
            <w:fldChar w:fldCharType="separate"/>
          </w:r>
          <w:r>
            <w:rPr>
              <w:rFonts w:hint="eastAsia" w:ascii="黑体" w:hAnsi="黑体" w:eastAsia="黑体" w:cs="黑体"/>
              <w:bCs w:val="0"/>
              <w:szCs w:val="32"/>
              <w:lang w:val="en-US" w:eastAsia="zh-CN"/>
            </w:rPr>
            <w:t>三</w:t>
          </w:r>
          <w:r>
            <w:rPr>
              <w:rFonts w:hint="eastAsia" w:ascii="黑体" w:hAnsi="黑体" w:eastAsia="黑体" w:cs="黑体"/>
              <w:bCs w:val="0"/>
              <w:szCs w:val="32"/>
            </w:rPr>
            <w:t>、标准编写的目的、意义</w:t>
          </w:r>
          <w:r>
            <w:tab/>
          </w:r>
          <w:r>
            <w:fldChar w:fldCharType="begin"/>
          </w:r>
          <w:r>
            <w:instrText xml:space="preserve"> PAGEREF _Toc1284 \h </w:instrText>
          </w:r>
          <w:r>
            <w:fldChar w:fldCharType="separate"/>
          </w:r>
          <w:r>
            <w:t>4</w:t>
          </w:r>
          <w:r>
            <w:fldChar w:fldCharType="end"/>
          </w:r>
          <w:r>
            <w:fldChar w:fldCharType="end"/>
          </w:r>
        </w:p>
        <w:p>
          <w:pPr>
            <w:pStyle w:val="5"/>
            <w:tabs>
              <w:tab w:val="right" w:leader="dot" w:pos="9190"/>
            </w:tabs>
          </w:pPr>
          <w:r>
            <w:fldChar w:fldCharType="begin"/>
          </w:r>
          <w:r>
            <w:instrText xml:space="preserve"> HYPERLINK \l _Toc16058 </w:instrText>
          </w:r>
          <w:r>
            <w:fldChar w:fldCharType="separate"/>
          </w:r>
          <w:r>
            <w:rPr>
              <w:rFonts w:hint="eastAsia" w:ascii="黑体" w:hAnsi="黑体" w:eastAsia="黑体" w:cs="黑体"/>
              <w:szCs w:val="32"/>
              <w:lang w:val="en-US" w:eastAsia="zh-CN"/>
            </w:rPr>
            <w:t>四、主要工作过程</w:t>
          </w:r>
          <w:r>
            <w:tab/>
          </w:r>
          <w:r>
            <w:fldChar w:fldCharType="begin"/>
          </w:r>
          <w:r>
            <w:instrText xml:space="preserve"> PAGEREF _Toc16058 \h </w:instrText>
          </w:r>
          <w:r>
            <w:fldChar w:fldCharType="separate"/>
          </w:r>
          <w:r>
            <w:t>5</w:t>
          </w:r>
          <w:r>
            <w:fldChar w:fldCharType="end"/>
          </w:r>
          <w:r>
            <w:fldChar w:fldCharType="end"/>
          </w:r>
        </w:p>
        <w:p>
          <w:pPr>
            <w:pStyle w:val="5"/>
            <w:tabs>
              <w:tab w:val="right" w:leader="dot" w:pos="9190"/>
            </w:tabs>
          </w:pPr>
          <w:r>
            <w:fldChar w:fldCharType="begin"/>
          </w:r>
          <w:r>
            <w:instrText xml:space="preserve"> HYPERLINK \l _Toc23784 </w:instrText>
          </w:r>
          <w:r>
            <w:fldChar w:fldCharType="separate"/>
          </w:r>
          <w:r>
            <w:rPr>
              <w:rFonts w:hint="eastAsia" w:ascii="黑体" w:hAnsi="黑体" w:eastAsia="黑体" w:cs="黑体"/>
              <w:bCs w:val="0"/>
              <w:szCs w:val="32"/>
              <w:lang w:val="en-US" w:eastAsia="zh-CN"/>
            </w:rPr>
            <w:t>五、</w:t>
          </w:r>
          <w:r>
            <w:rPr>
              <w:rFonts w:hint="eastAsia" w:ascii="黑体" w:hAnsi="黑体" w:eastAsia="黑体" w:cs="黑体"/>
              <w:bCs w:val="0"/>
              <w:szCs w:val="32"/>
            </w:rPr>
            <w:t>标准编制原则</w:t>
          </w:r>
          <w:r>
            <w:tab/>
          </w:r>
          <w:r>
            <w:fldChar w:fldCharType="begin"/>
          </w:r>
          <w:r>
            <w:instrText xml:space="preserve"> PAGEREF _Toc23784 \h </w:instrText>
          </w:r>
          <w:r>
            <w:fldChar w:fldCharType="separate"/>
          </w:r>
          <w:r>
            <w:t>5</w:t>
          </w:r>
          <w:r>
            <w:fldChar w:fldCharType="end"/>
          </w:r>
          <w:r>
            <w:fldChar w:fldCharType="end"/>
          </w:r>
        </w:p>
        <w:p>
          <w:pPr>
            <w:pStyle w:val="5"/>
            <w:tabs>
              <w:tab w:val="right" w:leader="dot" w:pos="9190"/>
            </w:tabs>
          </w:pPr>
          <w:r>
            <w:fldChar w:fldCharType="begin"/>
          </w:r>
          <w:r>
            <w:instrText xml:space="preserve"> HYPERLINK \l _Toc32032 </w:instrText>
          </w:r>
          <w:r>
            <w:fldChar w:fldCharType="separate"/>
          </w:r>
          <w:r>
            <w:rPr>
              <w:rFonts w:hint="eastAsia" w:ascii="黑体" w:hAnsi="黑体" w:eastAsia="黑体" w:cs="黑体"/>
              <w:bCs w:val="0"/>
              <w:szCs w:val="32"/>
            </w:rPr>
            <w:t>六、标准主要内容</w:t>
          </w:r>
          <w:r>
            <w:tab/>
          </w:r>
          <w:r>
            <w:fldChar w:fldCharType="begin"/>
          </w:r>
          <w:r>
            <w:instrText xml:space="preserve"> PAGEREF _Toc32032 \h </w:instrText>
          </w:r>
          <w:r>
            <w:fldChar w:fldCharType="separate"/>
          </w:r>
          <w:r>
            <w:t>7</w:t>
          </w:r>
          <w:r>
            <w:fldChar w:fldCharType="end"/>
          </w:r>
          <w:r>
            <w:fldChar w:fldCharType="end"/>
          </w:r>
        </w:p>
        <w:p>
          <w:pPr>
            <w:pStyle w:val="5"/>
            <w:tabs>
              <w:tab w:val="right" w:leader="dot" w:pos="9190"/>
            </w:tabs>
          </w:pPr>
          <w:r>
            <w:fldChar w:fldCharType="begin"/>
          </w:r>
          <w:r>
            <w:instrText xml:space="preserve"> HYPERLINK \l _Toc22051 </w:instrText>
          </w:r>
          <w:r>
            <w:fldChar w:fldCharType="separate"/>
          </w:r>
          <w:r>
            <w:rPr>
              <w:rFonts w:hint="eastAsia" w:ascii="黑体" w:hAnsi="黑体" w:eastAsia="黑体" w:cs="黑体"/>
              <w:bCs w:val="0"/>
              <w:szCs w:val="32"/>
            </w:rPr>
            <w:t>七、重大意见分歧的处理经过和依据</w:t>
          </w:r>
          <w:r>
            <w:tab/>
          </w:r>
          <w:r>
            <w:fldChar w:fldCharType="begin"/>
          </w:r>
          <w:r>
            <w:instrText xml:space="preserve"> PAGEREF _Toc22051 \h </w:instrText>
          </w:r>
          <w:r>
            <w:fldChar w:fldCharType="separate"/>
          </w:r>
          <w:r>
            <w:t>11</w:t>
          </w:r>
          <w:r>
            <w:fldChar w:fldCharType="end"/>
          </w:r>
          <w:r>
            <w:fldChar w:fldCharType="end"/>
          </w:r>
        </w:p>
        <w:p>
          <w:pPr>
            <w:pStyle w:val="5"/>
            <w:tabs>
              <w:tab w:val="right" w:leader="dot" w:pos="9190"/>
            </w:tabs>
          </w:pPr>
          <w:r>
            <w:fldChar w:fldCharType="begin"/>
          </w:r>
          <w:r>
            <w:instrText xml:space="preserve"> HYPERLINK \l _Toc24649 </w:instrText>
          </w:r>
          <w:r>
            <w:fldChar w:fldCharType="separate"/>
          </w:r>
          <w:r>
            <w:rPr>
              <w:rFonts w:hint="eastAsia" w:ascii="黑体" w:hAnsi="黑体" w:eastAsia="黑体" w:cs="黑体"/>
              <w:bCs w:val="0"/>
              <w:szCs w:val="32"/>
              <w:lang w:val="en-US" w:eastAsia="zh-CN"/>
            </w:rPr>
            <w:t>八、</w:t>
          </w:r>
          <w:r>
            <w:rPr>
              <w:rFonts w:hint="eastAsia" w:ascii="黑体" w:hAnsi="黑体" w:eastAsia="黑体" w:cs="黑体"/>
              <w:bCs w:val="0"/>
              <w:szCs w:val="32"/>
            </w:rPr>
            <w:t>采标情况</w:t>
          </w:r>
          <w:r>
            <w:tab/>
          </w:r>
          <w:r>
            <w:fldChar w:fldCharType="begin"/>
          </w:r>
          <w:r>
            <w:instrText xml:space="preserve"> PAGEREF _Toc24649 \h </w:instrText>
          </w:r>
          <w:r>
            <w:fldChar w:fldCharType="separate"/>
          </w:r>
          <w:r>
            <w:t>11</w:t>
          </w:r>
          <w:r>
            <w:fldChar w:fldCharType="end"/>
          </w:r>
          <w:r>
            <w:fldChar w:fldCharType="end"/>
          </w:r>
        </w:p>
        <w:p>
          <w:pPr>
            <w:pStyle w:val="5"/>
            <w:tabs>
              <w:tab w:val="right" w:leader="dot" w:pos="9190"/>
            </w:tabs>
          </w:pPr>
          <w:r>
            <w:fldChar w:fldCharType="begin"/>
          </w:r>
          <w:r>
            <w:instrText xml:space="preserve"> HYPERLINK \l _Toc31670 </w:instrText>
          </w:r>
          <w:r>
            <w:fldChar w:fldCharType="separate"/>
          </w:r>
          <w:r>
            <w:rPr>
              <w:rFonts w:hint="eastAsia" w:ascii="黑体" w:hAnsi="黑体" w:eastAsia="黑体" w:cs="黑体"/>
              <w:bCs w:val="0"/>
              <w:szCs w:val="32"/>
              <w:lang w:val="en-US" w:eastAsia="zh-CN"/>
            </w:rPr>
            <w:t>九、</w:t>
          </w:r>
          <w:r>
            <w:rPr>
              <w:rFonts w:hint="eastAsia" w:ascii="黑体" w:hAnsi="黑体" w:eastAsia="黑体" w:cs="黑体"/>
              <w:bCs w:val="0"/>
              <w:szCs w:val="32"/>
            </w:rPr>
            <w:t>与现行法律、法规和强制性国家标准</w:t>
          </w:r>
          <w:r>
            <w:rPr>
              <w:rFonts w:hint="eastAsia" w:ascii="黑体" w:hAnsi="黑体" w:eastAsia="黑体" w:cs="黑体"/>
              <w:bCs w:val="0"/>
              <w:szCs w:val="32"/>
              <w:lang w:eastAsia="zh-CN"/>
            </w:rPr>
            <w:t>、行业标准</w:t>
          </w:r>
          <w:r>
            <w:rPr>
              <w:rFonts w:hint="eastAsia" w:ascii="黑体" w:hAnsi="黑体" w:eastAsia="黑体" w:cs="黑体"/>
              <w:bCs w:val="0"/>
              <w:szCs w:val="32"/>
            </w:rPr>
            <w:t>的关系</w:t>
          </w:r>
          <w:r>
            <w:tab/>
          </w:r>
          <w:r>
            <w:fldChar w:fldCharType="begin"/>
          </w:r>
          <w:r>
            <w:instrText xml:space="preserve"> PAGEREF _Toc31670 \h </w:instrText>
          </w:r>
          <w:r>
            <w:fldChar w:fldCharType="separate"/>
          </w:r>
          <w:r>
            <w:t>11</w:t>
          </w:r>
          <w:r>
            <w:fldChar w:fldCharType="end"/>
          </w:r>
          <w:r>
            <w:fldChar w:fldCharType="end"/>
          </w:r>
        </w:p>
        <w:p>
          <w:pPr>
            <w:pStyle w:val="5"/>
            <w:tabs>
              <w:tab w:val="right" w:leader="dot" w:pos="9190"/>
            </w:tabs>
          </w:pPr>
          <w:r>
            <w:fldChar w:fldCharType="begin"/>
          </w:r>
          <w:r>
            <w:instrText xml:space="preserve"> HYPERLINK \l _Toc20348 </w:instrText>
          </w:r>
          <w:r>
            <w:fldChar w:fldCharType="separate"/>
          </w:r>
          <w:r>
            <w:rPr>
              <w:rFonts w:hint="eastAsia" w:ascii="黑体" w:hAnsi="黑体" w:eastAsia="黑体" w:cs="黑体"/>
              <w:bCs w:val="0"/>
              <w:szCs w:val="32"/>
            </w:rPr>
            <w:t>十、宣贯及实施建议</w:t>
          </w:r>
          <w:r>
            <w:tab/>
          </w:r>
          <w:r>
            <w:fldChar w:fldCharType="begin"/>
          </w:r>
          <w:r>
            <w:instrText xml:space="preserve"> PAGEREF _Toc20348 \h </w:instrText>
          </w:r>
          <w:r>
            <w:fldChar w:fldCharType="separate"/>
          </w:r>
          <w:r>
            <w:t>11</w:t>
          </w:r>
          <w:r>
            <w:fldChar w:fldCharType="end"/>
          </w:r>
          <w:r>
            <w:fldChar w:fldCharType="end"/>
          </w:r>
        </w:p>
        <w:p>
          <w:pPr>
            <w:pStyle w:val="5"/>
            <w:tabs>
              <w:tab w:val="right" w:leader="dot" w:pos="9190"/>
            </w:tabs>
          </w:pPr>
          <w:r>
            <w:fldChar w:fldCharType="begin"/>
          </w:r>
          <w:r>
            <w:instrText xml:space="preserve"> HYPERLINK \l _Toc9972 </w:instrText>
          </w:r>
          <w:r>
            <w:fldChar w:fldCharType="separate"/>
          </w:r>
          <w:r>
            <w:rPr>
              <w:rFonts w:hint="eastAsia" w:ascii="黑体" w:hAnsi="黑体" w:eastAsia="黑体" w:cs="黑体"/>
              <w:bCs w:val="0"/>
              <w:szCs w:val="32"/>
              <w:lang w:val="en-US" w:eastAsia="zh-CN"/>
            </w:rPr>
            <w:t>十一、代替、废止标准的意见</w:t>
          </w:r>
          <w:r>
            <w:tab/>
          </w:r>
          <w:r>
            <w:fldChar w:fldCharType="begin"/>
          </w:r>
          <w:r>
            <w:instrText xml:space="preserve"> PAGEREF _Toc9972 \h </w:instrText>
          </w:r>
          <w:r>
            <w:fldChar w:fldCharType="separate"/>
          </w:r>
          <w:r>
            <w:t>11</w:t>
          </w:r>
          <w:r>
            <w:fldChar w:fldCharType="end"/>
          </w:r>
          <w:r>
            <w:fldChar w:fldCharType="end"/>
          </w:r>
        </w:p>
        <w:p>
          <w:pPr>
            <w:pStyle w:val="5"/>
            <w:tabs>
              <w:tab w:val="right" w:leader="dot" w:pos="9190"/>
            </w:tabs>
          </w:pPr>
          <w:r>
            <w:fldChar w:fldCharType="begin"/>
          </w:r>
          <w:r>
            <w:instrText xml:space="preserve"> HYPERLINK \l _Toc6493 </w:instrText>
          </w:r>
          <w:r>
            <w:fldChar w:fldCharType="separate"/>
          </w:r>
          <w:r>
            <w:rPr>
              <w:rFonts w:hint="eastAsia" w:ascii="黑体" w:hAnsi="黑体" w:eastAsia="黑体" w:cs="黑体"/>
              <w:bCs w:val="0"/>
              <w:szCs w:val="32"/>
            </w:rPr>
            <w:t>十</w:t>
          </w:r>
          <w:r>
            <w:rPr>
              <w:rFonts w:hint="eastAsia" w:ascii="黑体" w:hAnsi="黑体" w:eastAsia="黑体" w:cs="黑体"/>
              <w:bCs w:val="0"/>
              <w:szCs w:val="32"/>
              <w:lang w:eastAsia="zh-CN"/>
            </w:rPr>
            <w:t>二</w:t>
          </w:r>
          <w:r>
            <w:rPr>
              <w:rFonts w:hint="eastAsia" w:ascii="黑体" w:hAnsi="黑体" w:eastAsia="黑体" w:cs="黑体"/>
              <w:bCs w:val="0"/>
              <w:szCs w:val="32"/>
            </w:rPr>
            <w:t>、其他应予说明的事项</w:t>
          </w:r>
          <w:r>
            <w:tab/>
          </w:r>
          <w:r>
            <w:fldChar w:fldCharType="begin"/>
          </w:r>
          <w:r>
            <w:instrText xml:space="preserve"> PAGEREF _Toc6493 \h </w:instrText>
          </w:r>
          <w:r>
            <w:fldChar w:fldCharType="separate"/>
          </w:r>
          <w:r>
            <w:t>12</w:t>
          </w:r>
          <w:r>
            <w:fldChar w:fldCharType="end"/>
          </w:r>
          <w:r>
            <w:fldChar w:fldCharType="end"/>
          </w:r>
        </w:p>
        <w:p>
          <w:pPr>
            <w:tabs>
              <w:tab w:val="right" w:leader="dot" w:pos="9190"/>
            </w:tabs>
            <w:spacing w:after="0"/>
            <w:sectPr>
              <w:footerReference r:id="rId5" w:type="default"/>
              <w:pgSz w:w="11910" w:h="16840"/>
              <w:pgMar w:top="1480" w:right="1360" w:bottom="1440" w:left="1360" w:header="0" w:footer="1252" w:gutter="0"/>
              <w:cols w:space="720" w:num="1"/>
            </w:sectPr>
          </w:pPr>
          <w:r>
            <w:fldChar w:fldCharType="end"/>
          </w:r>
        </w:p>
      </w:sdtContent>
    </w:sdt>
    <w:p>
      <w:pPr>
        <w:pStyle w:val="3"/>
        <w:rPr>
          <w:sz w:val="32"/>
        </w:rPr>
      </w:pPr>
    </w:p>
    <w:p>
      <w:pPr>
        <w:spacing w:before="0"/>
        <w:ind w:right="6176" w:firstLine="608" w:firstLineChars="200"/>
        <w:jc w:val="both"/>
        <w:outlineLvl w:val="0"/>
        <w:rPr>
          <w:rFonts w:hint="eastAsia" w:ascii="黑体" w:hAnsi="黑体" w:eastAsia="黑体" w:cs="黑体"/>
          <w:b w:val="0"/>
          <w:bCs/>
          <w:sz w:val="32"/>
          <w:lang w:val="en-US" w:eastAsia="zh-CN"/>
        </w:rPr>
      </w:pPr>
      <w:bookmarkStart w:id="0" w:name="一、工作简要过程"/>
      <w:bookmarkEnd w:id="0"/>
      <w:bookmarkStart w:id="1" w:name="_bookmark0"/>
      <w:bookmarkEnd w:id="1"/>
      <w:bookmarkStart w:id="2" w:name="_Toc30161"/>
      <w:r>
        <w:rPr>
          <w:rFonts w:hint="eastAsia" w:ascii="黑体" w:hAnsi="黑体" w:eastAsia="黑体" w:cs="黑体"/>
          <w:b w:val="0"/>
          <w:bCs/>
          <w:w w:val="95"/>
          <w:sz w:val="32"/>
        </w:rPr>
        <w:t>一、</w:t>
      </w:r>
      <w:r>
        <w:rPr>
          <w:rFonts w:hint="eastAsia" w:ascii="黑体" w:hAnsi="黑体" w:eastAsia="黑体" w:cs="黑体"/>
          <w:b w:val="0"/>
          <w:bCs/>
          <w:w w:val="95"/>
          <w:sz w:val="32"/>
          <w:lang w:val="en-US" w:eastAsia="zh-CN"/>
        </w:rPr>
        <w:t>项目来源</w:t>
      </w:r>
      <w:bookmarkEnd w:id="2"/>
    </w:p>
    <w:p>
      <w:pPr>
        <w:pStyle w:val="3"/>
        <w:spacing w:before="224"/>
        <w:ind w:right="6223" w:firstLine="640" w:firstLineChars="200"/>
        <w:jc w:val="both"/>
        <w:rPr>
          <w:rFonts w:hint="eastAsia" w:ascii="宋体" w:hAnsi="宋体" w:eastAsia="宋体" w:cs="宋体"/>
          <w:sz w:val="32"/>
          <w:szCs w:val="32"/>
        </w:rPr>
      </w:pPr>
      <w:r>
        <w:rPr>
          <w:rFonts w:hint="eastAsia" w:ascii="宋体" w:hAnsi="宋体" w:eastAsia="宋体" w:cs="宋体"/>
          <w:sz w:val="32"/>
          <w:szCs w:val="32"/>
        </w:rPr>
        <w:t>（一）</w:t>
      </w:r>
      <w:r>
        <w:rPr>
          <w:rFonts w:hint="eastAsia" w:ascii="宋体" w:hAnsi="宋体" w:eastAsia="宋体" w:cs="宋体"/>
          <w:sz w:val="32"/>
          <w:szCs w:val="32"/>
          <w:lang w:val="en-US" w:eastAsia="zh-CN"/>
        </w:rPr>
        <w:t>项目</w:t>
      </w:r>
      <w:r>
        <w:rPr>
          <w:rFonts w:hint="eastAsia" w:ascii="宋体" w:hAnsi="宋体" w:eastAsia="宋体" w:cs="宋体"/>
          <w:sz w:val="32"/>
          <w:szCs w:val="32"/>
        </w:rPr>
        <w:t>来源</w:t>
      </w:r>
    </w:p>
    <w:p>
      <w:pPr>
        <w:pStyle w:val="3"/>
        <w:spacing w:before="8"/>
        <w:rPr>
          <w:rFonts w:hint="eastAsia" w:ascii="宋体" w:hAnsi="宋体" w:eastAsia="宋体" w:cs="宋体"/>
          <w:sz w:val="32"/>
          <w:szCs w:val="32"/>
        </w:rPr>
      </w:pPr>
    </w:p>
    <w:p>
      <w:pPr>
        <w:pStyle w:val="3"/>
        <w:spacing w:line="360" w:lineRule="auto"/>
        <w:jc w:val="both"/>
        <w:rPr>
          <w:rFonts w:hint="eastAsia" w:ascii="宋体" w:hAnsi="宋体" w:eastAsia="宋体" w:cs="宋体"/>
          <w:sz w:val="32"/>
          <w:szCs w:val="32"/>
        </w:rPr>
      </w:pPr>
      <w:r>
        <w:rPr>
          <w:rFonts w:hint="eastAsia" w:ascii="宋体" w:hAnsi="宋体" w:eastAsia="宋体" w:cs="宋体"/>
          <w:sz w:val="32"/>
          <w:szCs w:val="32"/>
        </w:rPr>
        <w:t>《质量分级及“领跑者”评价要求 托盘</w:t>
      </w:r>
      <w:r>
        <w:rPr>
          <w:rFonts w:hint="eastAsia" w:cs="宋体"/>
          <w:sz w:val="32"/>
          <w:szCs w:val="32"/>
          <w:lang w:eastAsia="zh-CN"/>
        </w:rPr>
        <w:t>租赁服务</w:t>
      </w:r>
      <w:r>
        <w:rPr>
          <w:rFonts w:hint="eastAsia" w:ascii="宋体" w:hAnsi="宋体" w:eastAsia="宋体" w:cs="宋体"/>
          <w:sz w:val="32"/>
          <w:szCs w:val="32"/>
        </w:rPr>
        <w:t>》由中国物流与采购联合会、企业标准“领跑者”工作委员会提出，由中国物流与采购联合会团体标准化技术委员会、中国技术经济学会共同归口，2022年6月14日经中国物流与采购联合会、中国技术经济学会批准立项，项目编号：2022-TB-0</w:t>
      </w:r>
      <w:r>
        <w:rPr>
          <w:rFonts w:hint="eastAsia" w:cs="宋体"/>
          <w:sz w:val="32"/>
          <w:szCs w:val="32"/>
          <w:lang w:val="en-US" w:eastAsia="zh-CN"/>
        </w:rPr>
        <w:t>07</w:t>
      </w:r>
      <w:r>
        <w:rPr>
          <w:rFonts w:hint="eastAsia" w:ascii="宋体" w:hAnsi="宋体" w:eastAsia="宋体" w:cs="宋体"/>
          <w:sz w:val="32"/>
          <w:szCs w:val="32"/>
        </w:rPr>
        <w:t>/2022024</w:t>
      </w:r>
      <w:r>
        <w:rPr>
          <w:rFonts w:hint="eastAsia" w:cs="宋体"/>
          <w:sz w:val="32"/>
          <w:szCs w:val="32"/>
          <w:lang w:val="en-US" w:eastAsia="zh-CN"/>
        </w:rPr>
        <w:t>7</w:t>
      </w:r>
      <w:r>
        <w:rPr>
          <w:rFonts w:hint="eastAsia" w:ascii="宋体" w:hAnsi="宋体" w:eastAsia="宋体" w:cs="宋体"/>
          <w:sz w:val="32"/>
          <w:szCs w:val="32"/>
        </w:rPr>
        <w:t>。</w:t>
      </w:r>
    </w:p>
    <w:p>
      <w:pPr>
        <w:pStyle w:val="3"/>
        <w:spacing w:line="360" w:lineRule="auto"/>
        <w:ind w:firstLine="640" w:firstLineChars="200"/>
        <w:jc w:val="both"/>
        <w:rPr>
          <w:rFonts w:hint="eastAsia" w:ascii="宋体" w:hAnsi="宋体" w:eastAsia="宋体" w:cs="宋体"/>
          <w:sz w:val="32"/>
          <w:szCs w:val="32"/>
        </w:rPr>
      </w:pPr>
      <w:r>
        <w:rPr>
          <w:rFonts w:hint="eastAsia" w:ascii="宋体" w:hAnsi="宋体" w:eastAsia="宋体" w:cs="宋体"/>
          <w:sz w:val="32"/>
          <w:szCs w:val="32"/>
        </w:rPr>
        <w:t>（二）主要起草单位</w:t>
      </w:r>
    </w:p>
    <w:p>
      <w:pPr>
        <w:pStyle w:val="3"/>
        <w:spacing w:line="417" w:lineRule="auto"/>
        <w:ind w:right="435" w:firstLine="600" w:firstLineChars="200"/>
        <w:jc w:val="both"/>
        <w:rPr>
          <w:rFonts w:hint="eastAsia" w:cs="宋体"/>
          <w:spacing w:val="-4"/>
          <w:sz w:val="32"/>
          <w:szCs w:val="32"/>
          <w:lang w:val="en-US" w:eastAsia="zh-CN"/>
        </w:rPr>
      </w:pPr>
      <w:r>
        <w:rPr>
          <w:rFonts w:hint="eastAsia" w:ascii="宋体" w:hAnsi="宋体" w:eastAsia="宋体" w:cs="宋体"/>
          <w:spacing w:val="-10"/>
          <w:sz w:val="32"/>
          <w:szCs w:val="32"/>
        </w:rPr>
        <w:t>在本标准的研究制定工作过程中，与行业专家进行了多次研讨并</w:t>
      </w:r>
      <w:r>
        <w:rPr>
          <w:rFonts w:hint="eastAsia" w:ascii="宋体" w:hAnsi="宋体" w:eastAsia="宋体" w:cs="宋体"/>
          <w:spacing w:val="-9"/>
          <w:sz w:val="32"/>
          <w:szCs w:val="32"/>
        </w:rPr>
        <w:t>开展了广泛的调研工作和大量的试验验证工作，得到了相关</w:t>
      </w:r>
      <w:r>
        <w:rPr>
          <w:rFonts w:hint="eastAsia" w:ascii="宋体" w:hAnsi="宋体" w:eastAsia="宋体" w:cs="宋体"/>
          <w:spacing w:val="-9"/>
          <w:sz w:val="32"/>
          <w:szCs w:val="32"/>
          <w:lang w:val="en-US" w:eastAsia="zh-CN"/>
        </w:rPr>
        <w:t>托盘租赁</w:t>
      </w:r>
      <w:r>
        <w:rPr>
          <w:rFonts w:hint="eastAsia" w:ascii="宋体" w:hAnsi="宋体" w:eastAsia="宋体" w:cs="宋体"/>
          <w:spacing w:val="-9"/>
          <w:sz w:val="32"/>
          <w:szCs w:val="32"/>
        </w:rPr>
        <w:t>和</w:t>
      </w:r>
      <w:r>
        <w:rPr>
          <w:rFonts w:hint="eastAsia" w:ascii="宋体" w:hAnsi="宋体" w:eastAsia="宋体" w:cs="宋体"/>
          <w:spacing w:val="-9"/>
          <w:sz w:val="32"/>
          <w:szCs w:val="32"/>
          <w:lang w:val="en-US" w:eastAsia="zh-CN"/>
        </w:rPr>
        <w:t>维修</w:t>
      </w:r>
      <w:r>
        <w:rPr>
          <w:rFonts w:hint="eastAsia" w:ascii="宋体" w:hAnsi="宋体" w:eastAsia="宋体" w:cs="宋体"/>
          <w:spacing w:val="-10"/>
          <w:sz w:val="32"/>
          <w:szCs w:val="32"/>
          <w:lang w:val="en-US" w:eastAsia="zh-CN"/>
        </w:rPr>
        <w:t>企业</w:t>
      </w:r>
      <w:r>
        <w:rPr>
          <w:rFonts w:hint="eastAsia" w:ascii="宋体" w:hAnsi="宋体" w:eastAsia="宋体" w:cs="宋体"/>
          <w:spacing w:val="-10"/>
          <w:sz w:val="32"/>
          <w:szCs w:val="32"/>
        </w:rPr>
        <w:t>的支持，取得了大量具有建设性的意见、建议和数据，保证</w:t>
      </w:r>
      <w:r>
        <w:rPr>
          <w:rFonts w:hint="eastAsia" w:ascii="宋体" w:hAnsi="宋体" w:eastAsia="宋体" w:cs="宋体"/>
          <w:spacing w:val="-4"/>
          <w:sz w:val="32"/>
          <w:szCs w:val="32"/>
        </w:rPr>
        <w:t>本标准的制定质量。主要起草单位名单如下：</w:t>
      </w:r>
      <w:r>
        <w:rPr>
          <w:rFonts w:hint="eastAsia" w:cs="宋体"/>
          <w:spacing w:val="-4"/>
          <w:sz w:val="32"/>
          <w:szCs w:val="32"/>
          <w:lang w:val="en-US" w:eastAsia="zh-CN"/>
        </w:rPr>
        <w:t xml:space="preserve">             </w:t>
      </w:r>
    </w:p>
    <w:p>
      <w:pPr>
        <w:pStyle w:val="3"/>
        <w:spacing w:line="417" w:lineRule="auto"/>
        <w:ind w:right="435" w:firstLine="624" w:firstLineChars="200"/>
        <w:jc w:val="both"/>
        <w:rPr>
          <w:rFonts w:hint="eastAsia" w:ascii="宋体" w:hAnsi="宋体" w:eastAsia="宋体" w:cs="宋体"/>
          <w:sz w:val="32"/>
          <w:szCs w:val="32"/>
          <w:lang w:eastAsia="zh-CN"/>
        </w:rPr>
      </w:pPr>
      <w:r>
        <w:rPr>
          <w:rFonts w:hint="eastAsia" w:cs="宋体"/>
          <w:spacing w:val="-4"/>
          <w:sz w:val="32"/>
          <w:szCs w:val="32"/>
          <w:lang w:val="en-US" w:eastAsia="zh-CN"/>
        </w:rPr>
        <w:t>中国物流与采购联合会、</w:t>
      </w:r>
      <w:r>
        <w:rPr>
          <w:rFonts w:hint="eastAsia" w:cs="宋体"/>
          <w:spacing w:val="-4"/>
          <w:sz w:val="32"/>
          <w:szCs w:val="32"/>
          <w:lang w:eastAsia="zh-CN"/>
        </w:rPr>
        <w:t>江苏中和智能包装有限公司、无锡市前程包装工程有限公司、</w:t>
      </w:r>
      <w:r>
        <w:rPr>
          <w:rFonts w:hint="eastAsia" w:ascii="宋体" w:hAnsi="宋体" w:eastAsia="宋体" w:cs="宋体"/>
          <w:spacing w:val="-4"/>
          <w:sz w:val="32"/>
          <w:szCs w:val="32"/>
        </w:rPr>
        <w:t>普洛斯科技（上海）有限公司</w:t>
      </w:r>
      <w:r>
        <w:rPr>
          <w:rFonts w:hint="eastAsia" w:cs="宋体"/>
          <w:spacing w:val="-4"/>
          <w:sz w:val="32"/>
          <w:szCs w:val="32"/>
          <w:lang w:eastAsia="zh-CN"/>
        </w:rPr>
        <w:t>、</w:t>
      </w:r>
      <w:r>
        <w:rPr>
          <w:rFonts w:hint="eastAsia" w:ascii="宋体" w:hAnsi="宋体" w:eastAsia="宋体" w:cs="宋体"/>
          <w:spacing w:val="-4"/>
          <w:sz w:val="32"/>
          <w:szCs w:val="32"/>
        </w:rPr>
        <w:t>海宁市金潮实业有限公司</w:t>
      </w:r>
      <w:r>
        <w:rPr>
          <w:rFonts w:hint="eastAsia" w:cs="宋体"/>
          <w:sz w:val="32"/>
          <w:szCs w:val="32"/>
          <w:lang w:eastAsia="zh-CN"/>
        </w:rPr>
        <w:t>。</w:t>
      </w:r>
    </w:p>
    <w:p>
      <w:pPr>
        <w:pStyle w:val="3"/>
        <w:spacing w:before="35" w:line="360" w:lineRule="auto"/>
        <w:ind w:firstLine="628" w:firstLineChars="200"/>
        <w:rPr>
          <w:rFonts w:hint="eastAsia" w:ascii="宋体" w:hAnsi="宋体" w:eastAsia="宋体" w:cs="宋体"/>
          <w:sz w:val="32"/>
          <w:szCs w:val="32"/>
        </w:rPr>
      </w:pPr>
      <w:r>
        <w:rPr>
          <w:rFonts w:hint="eastAsia" w:ascii="宋体" w:hAnsi="宋体" w:eastAsia="宋体" w:cs="宋体"/>
          <w:spacing w:val="-3"/>
          <w:sz w:val="32"/>
          <w:szCs w:val="32"/>
        </w:rPr>
        <w:t>本标准主要起草人：</w:t>
      </w:r>
      <w:r>
        <w:rPr>
          <w:rFonts w:hint="eastAsia" w:cs="宋体"/>
          <w:spacing w:val="-3"/>
          <w:sz w:val="32"/>
          <w:szCs w:val="32"/>
          <w:lang w:val="en-US" w:eastAsia="zh-CN"/>
        </w:rPr>
        <w:t>陈曲、王芮、秦菲阳、徐颖、邱宝军、周德志、林鑫奎、张剑锋、官彬、翟建新。</w:t>
      </w:r>
    </w:p>
    <w:p>
      <w:pPr>
        <w:pStyle w:val="3"/>
        <w:spacing w:before="9"/>
        <w:rPr>
          <w:sz w:val="20"/>
        </w:rPr>
      </w:pPr>
    </w:p>
    <w:p>
      <w:pPr>
        <w:pStyle w:val="3"/>
        <w:numPr>
          <w:ilvl w:val="0"/>
          <w:numId w:val="0"/>
        </w:numPr>
        <w:spacing w:line="417" w:lineRule="auto"/>
        <w:ind w:right="298" w:rightChars="0" w:firstLine="628" w:firstLineChars="200"/>
        <w:outlineLvl w:val="0"/>
        <w:rPr>
          <w:rFonts w:hint="eastAsia" w:ascii="黑体" w:hAnsi="黑体" w:eastAsia="黑体" w:cs="黑体"/>
          <w:spacing w:val="-3"/>
          <w:sz w:val="32"/>
          <w:szCs w:val="32"/>
          <w:lang w:val="en-US" w:eastAsia="zh-CN"/>
        </w:rPr>
      </w:pPr>
      <w:bookmarkStart w:id="3" w:name="_Toc23186"/>
      <w:r>
        <w:rPr>
          <w:rFonts w:hint="eastAsia" w:ascii="黑体" w:hAnsi="黑体" w:eastAsia="黑体" w:cs="黑体"/>
          <w:spacing w:val="-3"/>
          <w:sz w:val="32"/>
          <w:szCs w:val="32"/>
          <w:lang w:val="en-US" w:eastAsia="zh-CN"/>
        </w:rPr>
        <w:t>二、名称变更</w:t>
      </w:r>
      <w:bookmarkEnd w:id="3"/>
    </w:p>
    <w:p>
      <w:pPr>
        <w:pStyle w:val="3"/>
        <w:spacing w:line="417" w:lineRule="auto"/>
        <w:ind w:right="298" w:firstLine="640" w:firstLineChars="200"/>
        <w:rPr>
          <w:rFonts w:hint="default"/>
          <w:sz w:val="32"/>
          <w:szCs w:val="32"/>
          <w:lang w:val="en-US" w:eastAsia="zh-CN"/>
        </w:rPr>
      </w:pPr>
      <w:r>
        <w:rPr>
          <w:rFonts w:hint="eastAsia"/>
          <w:sz w:val="32"/>
          <w:szCs w:val="32"/>
          <w:lang w:val="en-US" w:eastAsia="zh-CN"/>
        </w:rPr>
        <w:t>无</w:t>
      </w:r>
    </w:p>
    <w:p>
      <w:pPr>
        <w:pStyle w:val="3"/>
        <w:spacing w:line="417" w:lineRule="auto"/>
        <w:ind w:right="298" w:firstLine="640" w:firstLineChars="200"/>
        <w:outlineLvl w:val="0"/>
        <w:rPr>
          <w:rFonts w:hint="eastAsia" w:ascii="黑体" w:hAnsi="黑体" w:eastAsia="黑体" w:cs="黑体"/>
          <w:b w:val="0"/>
          <w:bCs w:val="0"/>
          <w:sz w:val="32"/>
          <w:szCs w:val="32"/>
        </w:rPr>
      </w:pPr>
      <w:bookmarkStart w:id="4" w:name="_Toc1284"/>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、标准编写的目的、意义</w:t>
      </w:r>
      <w:bookmarkEnd w:id="4"/>
    </w:p>
    <w:p>
      <w:pPr>
        <w:pStyle w:val="3"/>
        <w:spacing w:before="1" w:line="417" w:lineRule="auto"/>
        <w:ind w:right="435" w:firstLine="624" w:firstLineChars="200"/>
        <w:jc w:val="both"/>
        <w:rPr>
          <w:rFonts w:hint="eastAsia"/>
          <w:spacing w:val="-4"/>
          <w:sz w:val="32"/>
          <w:szCs w:val="32"/>
        </w:rPr>
      </w:pPr>
      <w:r>
        <w:rPr>
          <w:rFonts w:hint="eastAsia"/>
          <w:spacing w:val="-4"/>
          <w:sz w:val="32"/>
          <w:szCs w:val="32"/>
        </w:rPr>
        <w:t>《“十四五”规划》中提出要加快构建以国内大循环为主体、国内国际双循环相互促进的新发展格局；党的十九届六中全会决议中指出要把握新发展阶段，贯彻创新、协调、绿色、开放、共享的新发展理念，加快构建以国内大循环为主体、国内国际双循环相互促进的新发展格局，推动高质量发展；商务部等9部门印发的《商贸物流高质量发展专项行动计划（2021-2025年）》中指出要探索构建开放式标准托盘、周转箱（筐）循环共用体系，支持托盘、周转箱（筐）回收网点、清洗中心、维修中心等配套设施建设；特别是自“一带一路”倡议提出以来，中国与沿线国家贸易来往更加频繁，加强了中欧间经济和贸易发展的对接与融合，促进了经济合作和互动交流。托盘作为物流基础单元，是中欧班列等多种运输方式中的重要器具，在“一带一路”商贸流通、物流运输、加强中欧经贸合作中发挥着极其重要的作用。因此，要加速推进国内和国际间托盘循环共用体系建设，促进物流业高质量发展。托盘循环共用以带托运输为主要应用形式，通过带托运输，企业可以实现快装快卸，从而减少车辆等待装卸的时间，降低人工成本，提高车辆周转率，带来车辆节能减排等绿色效益。</w:t>
      </w:r>
    </w:p>
    <w:p>
      <w:pPr>
        <w:pStyle w:val="3"/>
        <w:spacing w:before="1" w:line="417" w:lineRule="auto"/>
        <w:ind w:right="435" w:firstLine="624" w:firstLineChars="200"/>
        <w:jc w:val="both"/>
        <w:rPr>
          <w:sz w:val="32"/>
          <w:szCs w:val="32"/>
        </w:rPr>
      </w:pPr>
      <w:r>
        <w:rPr>
          <w:rFonts w:hint="eastAsia"/>
          <w:spacing w:val="-4"/>
          <w:sz w:val="32"/>
          <w:szCs w:val="32"/>
        </w:rPr>
        <w:t>在2021年，以路凯中国、集保、京东云箱、普拉托、上海乐橘为代表的托盘运营企业，不断更新托盘池中产品类型，以适应多行业协同发展；加速扩大各自托盘池规模和运营网络，提升服务能力；并纷纷推出具有特色的增值服务，推进托盘一贯化作业，提升效率，有效地促进供应链协同发展，加速托盘循环共用生态体系建设，为行业创造更多可持续发展价值；同时也为响应国务院、国家市场监管总局等部委实行企业标准“领跑者”制度的号召，发布公平、公正的企业标准“领跑者 ”排行榜，在</w:t>
      </w:r>
      <w:r>
        <w:rPr>
          <w:rFonts w:hint="eastAsia"/>
          <w:spacing w:val="-4"/>
          <w:sz w:val="32"/>
          <w:szCs w:val="32"/>
          <w:lang w:val="en-US" w:eastAsia="zh-CN"/>
        </w:rPr>
        <w:t>托盘</w:t>
      </w:r>
      <w:r>
        <w:rPr>
          <w:rFonts w:hint="eastAsia"/>
          <w:spacing w:val="-4"/>
          <w:sz w:val="32"/>
          <w:szCs w:val="32"/>
        </w:rPr>
        <w:t>领域需结合</w:t>
      </w:r>
      <w:r>
        <w:rPr>
          <w:rFonts w:hint="eastAsia"/>
          <w:spacing w:val="-4"/>
          <w:sz w:val="32"/>
          <w:szCs w:val="32"/>
          <w:lang w:val="en-US" w:eastAsia="zh-CN"/>
        </w:rPr>
        <w:t>自身</w:t>
      </w:r>
      <w:r>
        <w:rPr>
          <w:rFonts w:hint="eastAsia"/>
          <w:spacing w:val="-4"/>
          <w:sz w:val="32"/>
          <w:szCs w:val="32"/>
        </w:rPr>
        <w:t>特性，建立全方位、多角度、能充分反映行业先进水平的评价体系。</w:t>
      </w:r>
    </w:p>
    <w:p>
      <w:pPr>
        <w:pStyle w:val="3"/>
        <w:spacing w:line="417" w:lineRule="auto"/>
        <w:ind w:right="298" w:firstLine="568" w:firstLineChars="200"/>
        <w:rPr>
          <w:rFonts w:hint="eastAsia" w:ascii="宋体" w:hAnsi="宋体" w:eastAsia="宋体" w:cs="宋体"/>
          <w:sz w:val="32"/>
          <w:szCs w:val="32"/>
          <w:lang w:val="en-US" w:eastAsia="zh-CN"/>
        </w:rPr>
      </w:pPr>
      <w:r>
        <w:rPr>
          <w:spacing w:val="-18"/>
          <w:sz w:val="32"/>
          <w:szCs w:val="32"/>
        </w:rPr>
        <w:t>为规范行业发展、促使</w:t>
      </w:r>
      <w:r>
        <w:rPr>
          <w:rFonts w:hint="eastAsia"/>
          <w:spacing w:val="-18"/>
          <w:sz w:val="32"/>
          <w:szCs w:val="32"/>
          <w:lang w:val="en-US" w:eastAsia="zh-CN"/>
        </w:rPr>
        <w:t>托盘</w:t>
      </w:r>
      <w:r>
        <w:rPr>
          <w:spacing w:val="-18"/>
          <w:sz w:val="32"/>
          <w:szCs w:val="32"/>
        </w:rPr>
        <w:t>产品技术、质量提升，</w:t>
      </w:r>
      <w:r>
        <w:rPr>
          <w:spacing w:val="-10"/>
          <w:sz w:val="32"/>
          <w:szCs w:val="32"/>
        </w:rPr>
        <w:t>切实发挥企业标准对</w:t>
      </w:r>
      <w:r>
        <w:rPr>
          <w:rFonts w:hint="eastAsia"/>
          <w:spacing w:val="-10"/>
          <w:sz w:val="32"/>
          <w:szCs w:val="32"/>
          <w:lang w:val="en-US" w:eastAsia="zh-CN"/>
        </w:rPr>
        <w:t>服务质量</w:t>
      </w:r>
      <w:r>
        <w:rPr>
          <w:spacing w:val="-10"/>
          <w:sz w:val="32"/>
          <w:szCs w:val="32"/>
        </w:rPr>
        <w:t>提升的引领作用，开展《“领跑者”标</w:t>
      </w:r>
      <w:r>
        <w:rPr>
          <w:spacing w:val="-6"/>
          <w:sz w:val="32"/>
          <w:szCs w:val="32"/>
        </w:rPr>
        <w:t xml:space="preserve">准评价要求 </w:t>
      </w:r>
      <w:r>
        <w:rPr>
          <w:rFonts w:hint="eastAsia"/>
          <w:spacing w:val="-6"/>
          <w:sz w:val="32"/>
          <w:szCs w:val="32"/>
          <w:lang w:val="en-US" w:eastAsia="zh-CN"/>
        </w:rPr>
        <w:t>托盘租赁服务</w:t>
      </w:r>
      <w:r>
        <w:rPr>
          <w:spacing w:val="-6"/>
          <w:sz w:val="32"/>
          <w:szCs w:val="32"/>
        </w:rPr>
        <w:t>》团体标准制定，引导企业标准水</w:t>
      </w:r>
      <w:r>
        <w:rPr>
          <w:spacing w:val="-11"/>
          <w:sz w:val="32"/>
          <w:szCs w:val="32"/>
        </w:rPr>
        <w:t>平提升，引领</w:t>
      </w:r>
      <w:r>
        <w:rPr>
          <w:rFonts w:hint="eastAsia"/>
          <w:spacing w:val="-11"/>
          <w:sz w:val="32"/>
          <w:szCs w:val="32"/>
          <w:lang w:val="en-US" w:eastAsia="zh-CN"/>
        </w:rPr>
        <w:t>服务质量</w:t>
      </w:r>
      <w:r>
        <w:rPr>
          <w:spacing w:val="-11"/>
          <w:sz w:val="32"/>
          <w:szCs w:val="32"/>
        </w:rPr>
        <w:t>升级；为企业、研究机构、检测及评估机构提</w:t>
      </w:r>
      <w:r>
        <w:rPr>
          <w:spacing w:val="-19"/>
          <w:sz w:val="32"/>
          <w:szCs w:val="32"/>
        </w:rPr>
        <w:t>供指导和参考，促进企业对</w:t>
      </w:r>
      <w:r>
        <w:rPr>
          <w:rFonts w:hint="eastAsia"/>
          <w:spacing w:val="-19"/>
          <w:sz w:val="32"/>
          <w:szCs w:val="32"/>
          <w:lang w:val="en-US" w:eastAsia="zh-CN"/>
        </w:rPr>
        <w:t>服务</w:t>
      </w:r>
      <w:r>
        <w:rPr>
          <w:spacing w:val="-19"/>
          <w:sz w:val="32"/>
          <w:szCs w:val="32"/>
        </w:rPr>
        <w:t>进行优化升级，促使行业的快速发展。</w:t>
      </w:r>
    </w:p>
    <w:p>
      <w:pPr>
        <w:pStyle w:val="3"/>
        <w:spacing w:before="223" w:line="417" w:lineRule="auto"/>
        <w:ind w:right="4543" w:firstLine="640" w:firstLineChars="200"/>
        <w:outlineLvl w:val="0"/>
        <w:rPr>
          <w:rFonts w:hint="eastAsia" w:ascii="黑体" w:hAnsi="黑体" w:eastAsia="黑体" w:cs="黑体"/>
          <w:sz w:val="32"/>
          <w:szCs w:val="32"/>
          <w:lang w:val="en-US" w:eastAsia="zh-CN"/>
        </w:rPr>
      </w:pPr>
      <w:bookmarkStart w:id="5" w:name="_Toc16058"/>
      <w:r>
        <w:rPr>
          <w:rFonts w:hint="eastAsia" w:ascii="黑体" w:hAnsi="黑体" w:eastAsia="黑体" w:cs="黑体"/>
          <w:sz w:val="32"/>
          <w:szCs w:val="32"/>
          <w:lang w:val="en-US" w:eastAsia="zh-CN"/>
        </w:rPr>
        <w:t>四、主要工作过程</w:t>
      </w:r>
      <w:bookmarkEnd w:id="5"/>
    </w:p>
    <w:p>
      <w:pPr>
        <w:pStyle w:val="3"/>
        <w:spacing w:before="9"/>
        <w:rPr>
          <w:sz w:val="20"/>
        </w:rPr>
      </w:pPr>
    </w:p>
    <w:p>
      <w:pPr>
        <w:pStyle w:val="2"/>
        <w:bidi w:val="0"/>
        <w:spacing w:line="360" w:lineRule="auto"/>
        <w:ind w:left="0" w:leftChars="0" w:firstLine="640" w:firstLineChars="200"/>
        <w:jc w:val="both"/>
        <w:rPr>
          <w:rFonts w:hint="eastAsia" w:ascii="宋体" w:hAnsi="宋体" w:eastAsia="宋体" w:cs="宋体"/>
          <w:b w:val="0"/>
          <w:bCs w:val="0"/>
          <w:sz w:val="32"/>
          <w:szCs w:val="32"/>
          <w:lang w:val="zh-CN" w:eastAsia="zh-CN" w:bidi="zh-CN"/>
        </w:rPr>
      </w:pPr>
      <w:bookmarkStart w:id="6" w:name="_Toc23784"/>
      <w:r>
        <w:rPr>
          <w:rFonts w:hint="eastAsia" w:ascii="宋体" w:hAnsi="宋体" w:eastAsia="宋体" w:cs="宋体"/>
          <w:b w:val="0"/>
          <w:bCs w:val="0"/>
          <w:sz w:val="32"/>
          <w:szCs w:val="32"/>
          <w:lang w:val="zh-CN" w:eastAsia="zh-CN" w:bidi="zh-CN"/>
        </w:rPr>
        <w:t>标准计划下达前，标准起草牵头单位</w:t>
      </w:r>
      <w:r>
        <w:rPr>
          <w:rFonts w:hint="eastAsia" w:ascii="宋体" w:hAnsi="宋体" w:eastAsia="宋体" w:cs="宋体"/>
          <w:b w:val="0"/>
          <w:bCs w:val="0"/>
          <w:sz w:val="32"/>
          <w:szCs w:val="32"/>
          <w:lang w:val="en-US" w:eastAsia="zh-CN" w:bidi="zh-CN"/>
        </w:rPr>
        <w:t>中国物流与采购联合会托盘专业委员会</w:t>
      </w:r>
      <w:r>
        <w:rPr>
          <w:rFonts w:hint="eastAsia" w:ascii="宋体" w:hAnsi="宋体" w:eastAsia="宋体" w:cs="宋体"/>
          <w:b w:val="0"/>
          <w:bCs w:val="0"/>
          <w:sz w:val="32"/>
          <w:szCs w:val="32"/>
          <w:lang w:val="zh-CN" w:eastAsia="zh-CN" w:bidi="zh-CN"/>
        </w:rPr>
        <w:t>成立了专项工作组，根据</w:t>
      </w:r>
      <w:r>
        <w:rPr>
          <w:rFonts w:hint="eastAsia" w:ascii="宋体" w:hAnsi="宋体" w:eastAsia="宋体" w:cs="宋体"/>
          <w:b w:val="0"/>
          <w:bCs w:val="0"/>
          <w:sz w:val="32"/>
          <w:szCs w:val="32"/>
          <w:lang w:val="en-US" w:eastAsia="zh-CN" w:bidi="zh-CN"/>
        </w:rPr>
        <w:t>平托盘</w:t>
      </w:r>
      <w:r>
        <w:rPr>
          <w:rFonts w:hint="eastAsia" w:ascii="宋体" w:hAnsi="宋体" w:eastAsia="宋体" w:cs="宋体"/>
          <w:b w:val="0"/>
          <w:bCs w:val="0"/>
          <w:sz w:val="32"/>
          <w:szCs w:val="32"/>
          <w:lang w:val="zh-CN" w:eastAsia="zh-CN" w:bidi="zh-CN"/>
        </w:rPr>
        <w:t>以往测试数据分析以及行业调研和相关资料收集情况分析，结合内部专家的研讨结论，起草了《</w:t>
      </w:r>
      <w:r>
        <w:rPr>
          <w:rFonts w:hint="eastAsia" w:ascii="宋体" w:hAnsi="宋体" w:eastAsia="宋体" w:cs="宋体"/>
          <w:b w:val="0"/>
          <w:bCs w:val="0"/>
          <w:sz w:val="32"/>
          <w:szCs w:val="32"/>
          <w:lang w:val="en-US" w:eastAsia="zh-CN" w:bidi="zh-CN"/>
        </w:rPr>
        <w:t>质量分级及</w:t>
      </w:r>
      <w:r>
        <w:rPr>
          <w:rFonts w:hint="eastAsia" w:ascii="宋体" w:hAnsi="宋体" w:eastAsia="宋体" w:cs="宋体"/>
          <w:b w:val="0"/>
          <w:bCs w:val="0"/>
          <w:sz w:val="32"/>
          <w:szCs w:val="32"/>
          <w:lang w:val="zh-CN" w:eastAsia="zh-CN" w:bidi="zh-CN"/>
        </w:rPr>
        <w:t xml:space="preserve">“领跑者”标准评价要求 </w:t>
      </w:r>
      <w:r>
        <w:rPr>
          <w:rFonts w:hint="eastAsia" w:ascii="宋体" w:hAnsi="宋体" w:eastAsia="宋体" w:cs="宋体"/>
          <w:b w:val="0"/>
          <w:bCs w:val="0"/>
          <w:sz w:val="32"/>
          <w:szCs w:val="32"/>
          <w:lang w:val="en-US" w:eastAsia="zh-CN" w:bidi="zh-CN"/>
        </w:rPr>
        <w:t>托盘</w:t>
      </w:r>
      <w:r>
        <w:rPr>
          <w:rFonts w:hint="eastAsia" w:cs="宋体"/>
          <w:b w:val="0"/>
          <w:bCs w:val="0"/>
          <w:sz w:val="32"/>
          <w:szCs w:val="32"/>
          <w:lang w:val="en-US" w:eastAsia="zh-CN" w:bidi="zh-CN"/>
        </w:rPr>
        <w:t>租赁服务</w:t>
      </w:r>
      <w:r>
        <w:rPr>
          <w:rFonts w:hint="eastAsia" w:ascii="宋体" w:hAnsi="宋体" w:eastAsia="宋体" w:cs="宋体"/>
          <w:b w:val="0"/>
          <w:bCs w:val="0"/>
          <w:sz w:val="32"/>
          <w:szCs w:val="32"/>
          <w:lang w:val="zh-CN" w:eastAsia="zh-CN" w:bidi="zh-CN"/>
        </w:rPr>
        <w:t>》标准草案，并在行业内广泛征集共同起草单位。</w:t>
      </w:r>
    </w:p>
    <w:p>
      <w:pPr>
        <w:pStyle w:val="3"/>
        <w:spacing w:line="417" w:lineRule="auto"/>
        <w:ind w:right="437" w:firstLine="640" w:firstLineChars="200"/>
        <w:jc w:val="both"/>
        <w:rPr>
          <w:rFonts w:hint="eastAsia" w:eastAsia="宋体"/>
          <w:sz w:val="32"/>
          <w:szCs w:val="32"/>
          <w:lang w:eastAsia="zh-CN"/>
        </w:rPr>
      </w:pPr>
      <w:r>
        <w:rPr>
          <w:rFonts w:hint="eastAsia" w:ascii="宋体" w:hAnsi="宋体" w:eastAsia="宋体" w:cs="宋体"/>
          <w:b w:val="0"/>
          <w:bCs w:val="0"/>
          <w:sz w:val="32"/>
          <w:szCs w:val="32"/>
          <w:lang w:val="zh-CN" w:eastAsia="zh-CN" w:bidi="zh-CN"/>
        </w:rPr>
        <w:t>202</w:t>
      </w:r>
      <w:r>
        <w:rPr>
          <w:rFonts w:hint="eastAsia" w:ascii="宋体" w:hAnsi="宋体" w:eastAsia="宋体" w:cs="宋体"/>
          <w:b w:val="0"/>
          <w:bCs w:val="0"/>
          <w:sz w:val="32"/>
          <w:szCs w:val="32"/>
          <w:lang w:val="en-US" w:eastAsia="zh-CN" w:bidi="zh-CN"/>
        </w:rPr>
        <w:t>2</w:t>
      </w:r>
      <w:r>
        <w:rPr>
          <w:rFonts w:hint="eastAsia" w:ascii="宋体" w:hAnsi="宋体" w:eastAsia="宋体" w:cs="宋体"/>
          <w:b w:val="0"/>
          <w:bCs w:val="0"/>
          <w:sz w:val="32"/>
          <w:szCs w:val="32"/>
          <w:lang w:val="zh-CN" w:eastAsia="zh-CN" w:bidi="zh-CN"/>
        </w:rPr>
        <w:t>年</w:t>
      </w:r>
      <w:r>
        <w:rPr>
          <w:rFonts w:hint="eastAsia" w:ascii="宋体" w:hAnsi="宋体" w:eastAsia="宋体" w:cs="宋体"/>
          <w:b w:val="0"/>
          <w:bCs w:val="0"/>
          <w:sz w:val="32"/>
          <w:szCs w:val="32"/>
          <w:lang w:val="en-US" w:eastAsia="zh-CN" w:bidi="zh-CN"/>
        </w:rPr>
        <w:t>5</w:t>
      </w:r>
      <w:r>
        <w:rPr>
          <w:rFonts w:hint="eastAsia" w:ascii="宋体" w:hAnsi="宋体" w:eastAsia="宋体" w:cs="宋体"/>
          <w:b w:val="0"/>
          <w:bCs w:val="0"/>
          <w:sz w:val="32"/>
          <w:szCs w:val="32"/>
          <w:lang w:val="zh-CN" w:eastAsia="zh-CN" w:bidi="zh-CN"/>
        </w:rPr>
        <w:t>月</w:t>
      </w:r>
      <w:r>
        <w:rPr>
          <w:rFonts w:hint="eastAsia" w:cs="宋体"/>
          <w:b w:val="0"/>
          <w:bCs w:val="0"/>
          <w:sz w:val="32"/>
          <w:szCs w:val="32"/>
          <w:lang w:val="en-US" w:eastAsia="zh-CN" w:bidi="zh-CN"/>
        </w:rPr>
        <w:t>-</w:t>
      </w:r>
      <w:r>
        <w:rPr>
          <w:rFonts w:hint="eastAsia" w:ascii="宋体" w:hAnsi="宋体" w:eastAsia="宋体" w:cs="宋体"/>
          <w:b w:val="0"/>
          <w:bCs w:val="0"/>
          <w:sz w:val="32"/>
          <w:szCs w:val="32"/>
          <w:lang w:val="en-US" w:eastAsia="zh-CN" w:bidi="zh-CN"/>
        </w:rPr>
        <w:t>6</w:t>
      </w:r>
      <w:r>
        <w:rPr>
          <w:rFonts w:hint="eastAsia" w:ascii="宋体" w:hAnsi="宋体" w:eastAsia="宋体" w:cs="宋体"/>
          <w:b w:val="0"/>
          <w:bCs w:val="0"/>
          <w:sz w:val="32"/>
          <w:szCs w:val="32"/>
          <w:lang w:val="zh-CN" w:eastAsia="zh-CN" w:bidi="zh-CN"/>
        </w:rPr>
        <w:t>月，中国物流与采购联合会</w:t>
      </w:r>
      <w:r>
        <w:rPr>
          <w:rFonts w:hint="eastAsia" w:ascii="宋体" w:hAnsi="宋体" w:eastAsia="宋体" w:cs="宋体"/>
          <w:b w:val="0"/>
          <w:bCs w:val="0"/>
          <w:sz w:val="32"/>
          <w:szCs w:val="32"/>
          <w:lang w:val="en-US" w:eastAsia="zh-CN" w:bidi="zh-CN"/>
        </w:rPr>
        <w:t>托盘专业</w:t>
      </w:r>
      <w:r>
        <w:rPr>
          <w:rFonts w:hint="eastAsia" w:cs="宋体"/>
          <w:b w:val="0"/>
          <w:bCs w:val="0"/>
          <w:sz w:val="32"/>
          <w:szCs w:val="32"/>
          <w:lang w:val="en-US" w:eastAsia="zh-CN" w:bidi="zh-CN"/>
        </w:rPr>
        <w:t>委员</w:t>
      </w:r>
      <w:r>
        <w:rPr>
          <w:rFonts w:hint="eastAsia" w:ascii="宋体" w:hAnsi="宋体" w:eastAsia="宋体" w:cs="宋体"/>
          <w:b w:val="0"/>
          <w:bCs w:val="0"/>
          <w:sz w:val="32"/>
          <w:szCs w:val="32"/>
          <w:lang w:val="en-US" w:eastAsia="zh-CN" w:bidi="zh-CN"/>
        </w:rPr>
        <w:t>会（以下简称“中物联托盘委”）</w:t>
      </w:r>
      <w:r>
        <w:rPr>
          <w:sz w:val="32"/>
          <w:szCs w:val="32"/>
        </w:rPr>
        <w:t>将标准草稿用邮件或微信形式分别发送给了多家意向参加该项团标制定工作的企业征求意见</w:t>
      </w:r>
      <w:r>
        <w:rPr>
          <w:rFonts w:hint="eastAsia"/>
          <w:sz w:val="32"/>
          <w:szCs w:val="32"/>
          <w:lang w:eastAsia="zh-CN"/>
        </w:rPr>
        <w:t>并完成了标准草案，并向中物联团标委提交立项申请。</w:t>
      </w:r>
    </w:p>
    <w:p>
      <w:pPr>
        <w:pStyle w:val="3"/>
        <w:spacing w:line="417" w:lineRule="auto"/>
        <w:ind w:right="298" w:firstLine="640" w:firstLineChars="200"/>
        <w:jc w:val="both"/>
        <w:rPr>
          <w:rFonts w:hint="eastAsia"/>
          <w:spacing w:val="-3"/>
          <w:sz w:val="32"/>
          <w:szCs w:val="32"/>
          <w:lang w:eastAsia="zh-CN"/>
        </w:rPr>
      </w:pPr>
      <w:r>
        <w:rPr>
          <w:sz w:val="32"/>
          <w:szCs w:val="32"/>
        </w:rPr>
        <w:t>202</w:t>
      </w:r>
      <w:r>
        <w:rPr>
          <w:rFonts w:hint="eastAsia"/>
          <w:sz w:val="32"/>
          <w:szCs w:val="32"/>
          <w:lang w:val="en-US" w:eastAsia="zh-CN"/>
        </w:rPr>
        <w:t>2</w:t>
      </w:r>
      <w:r>
        <w:rPr>
          <w:spacing w:val="-42"/>
          <w:sz w:val="32"/>
          <w:szCs w:val="32"/>
        </w:rPr>
        <w:t>年</w:t>
      </w:r>
      <w:r>
        <w:rPr>
          <w:rFonts w:hint="eastAsia"/>
          <w:spacing w:val="-42"/>
          <w:sz w:val="32"/>
          <w:szCs w:val="32"/>
          <w:lang w:val="en-US" w:eastAsia="zh-CN"/>
        </w:rPr>
        <w:t>6</w:t>
      </w:r>
      <w:r>
        <w:rPr>
          <w:spacing w:val="-42"/>
          <w:sz w:val="32"/>
          <w:szCs w:val="32"/>
        </w:rPr>
        <w:t>月</w:t>
      </w:r>
      <w:r>
        <w:rPr>
          <w:rFonts w:hint="eastAsia"/>
          <w:spacing w:val="-6"/>
          <w:sz w:val="32"/>
          <w:szCs w:val="32"/>
          <w:lang w:val="en-US" w:eastAsia="zh-CN"/>
        </w:rPr>
        <w:t>10</w:t>
      </w:r>
      <w:r>
        <w:rPr>
          <w:spacing w:val="-6"/>
          <w:sz w:val="32"/>
          <w:szCs w:val="32"/>
        </w:rPr>
        <w:t>日，</w:t>
      </w:r>
      <w:r>
        <w:rPr>
          <w:rFonts w:hint="eastAsia"/>
          <w:spacing w:val="-6"/>
          <w:sz w:val="32"/>
          <w:szCs w:val="32"/>
        </w:rPr>
        <w:t>中国物流与采购联合会会</w:t>
      </w:r>
      <w:r>
        <w:rPr>
          <w:spacing w:val="-6"/>
          <w:sz w:val="32"/>
          <w:szCs w:val="32"/>
        </w:rPr>
        <w:t>组织</w:t>
      </w:r>
      <w:r>
        <w:rPr>
          <w:spacing w:val="-12"/>
          <w:sz w:val="32"/>
          <w:szCs w:val="32"/>
        </w:rPr>
        <w:t>专家</w:t>
      </w:r>
      <w:r>
        <w:rPr>
          <w:spacing w:val="-6"/>
          <w:sz w:val="32"/>
          <w:szCs w:val="32"/>
        </w:rPr>
        <w:t>召开</w:t>
      </w:r>
      <w:r>
        <w:rPr>
          <w:spacing w:val="-4"/>
          <w:sz w:val="32"/>
          <w:szCs w:val="32"/>
        </w:rPr>
        <w:t>了</w:t>
      </w:r>
      <w:r>
        <w:rPr>
          <w:rFonts w:hint="eastAsia"/>
          <w:spacing w:val="-4"/>
          <w:sz w:val="32"/>
          <w:szCs w:val="32"/>
          <w:lang w:val="en-US" w:eastAsia="zh-CN"/>
        </w:rPr>
        <w:t>立项评估</w:t>
      </w:r>
      <w:r>
        <w:rPr>
          <w:spacing w:val="-4"/>
          <w:sz w:val="32"/>
          <w:szCs w:val="32"/>
        </w:rPr>
        <w:t>会对《</w:t>
      </w:r>
      <w:r>
        <w:rPr>
          <w:rFonts w:hint="eastAsia"/>
          <w:spacing w:val="-4"/>
          <w:sz w:val="32"/>
          <w:szCs w:val="32"/>
          <w:lang w:val="en-US" w:eastAsia="zh-CN"/>
        </w:rPr>
        <w:t>质量分级及</w:t>
      </w:r>
      <w:r>
        <w:rPr>
          <w:spacing w:val="-4"/>
          <w:sz w:val="32"/>
          <w:szCs w:val="32"/>
        </w:rPr>
        <w:t xml:space="preserve">“领跑者”标准评价要求 </w:t>
      </w:r>
      <w:r>
        <w:rPr>
          <w:rFonts w:hint="eastAsia" w:ascii="宋体" w:hAnsi="宋体" w:eastAsia="宋体" w:cs="宋体"/>
          <w:b w:val="0"/>
          <w:bCs w:val="0"/>
          <w:sz w:val="32"/>
          <w:szCs w:val="32"/>
          <w:lang w:val="en-US" w:eastAsia="zh-CN" w:bidi="zh-CN"/>
        </w:rPr>
        <w:t>托盘</w:t>
      </w:r>
      <w:r>
        <w:rPr>
          <w:rFonts w:hint="eastAsia" w:cs="宋体"/>
          <w:b w:val="0"/>
          <w:bCs w:val="0"/>
          <w:sz w:val="32"/>
          <w:szCs w:val="32"/>
          <w:lang w:val="en-US" w:eastAsia="zh-CN" w:bidi="zh-CN"/>
        </w:rPr>
        <w:t>租赁服务</w:t>
      </w:r>
      <w:r>
        <w:rPr>
          <w:spacing w:val="-4"/>
          <w:sz w:val="32"/>
          <w:szCs w:val="32"/>
        </w:rPr>
        <w:t>》标准</w:t>
      </w:r>
      <w:r>
        <w:rPr>
          <w:spacing w:val="-41"/>
          <w:sz w:val="32"/>
          <w:szCs w:val="32"/>
        </w:rPr>
        <w:t>草案</w:t>
      </w:r>
      <w:r>
        <w:rPr>
          <w:spacing w:val="-10"/>
          <w:sz w:val="32"/>
          <w:szCs w:val="32"/>
        </w:rPr>
        <w:t>内容进行了</w:t>
      </w:r>
      <w:r>
        <w:rPr>
          <w:rFonts w:hint="eastAsia"/>
          <w:spacing w:val="-10"/>
          <w:sz w:val="32"/>
          <w:szCs w:val="32"/>
        </w:rPr>
        <w:t>立项评估</w:t>
      </w:r>
      <w:r>
        <w:rPr>
          <w:spacing w:val="-10"/>
          <w:sz w:val="32"/>
          <w:szCs w:val="32"/>
        </w:rPr>
        <w:t>。</w:t>
      </w:r>
      <w:r>
        <w:rPr>
          <w:rFonts w:hint="eastAsia"/>
          <w:spacing w:val="-10"/>
          <w:sz w:val="32"/>
          <w:szCs w:val="32"/>
        </w:rPr>
        <w:t>会后，起草组根据评估专家意见对标准草案进行了讨论和修改，形成工作组讨论稿。</w:t>
      </w:r>
    </w:p>
    <w:p>
      <w:pPr>
        <w:pStyle w:val="3"/>
        <w:spacing w:line="417" w:lineRule="auto"/>
        <w:ind w:right="298" w:firstLine="624" w:firstLineChars="200"/>
        <w:jc w:val="both"/>
        <w:rPr>
          <w:rFonts w:hint="eastAsia"/>
          <w:spacing w:val="-4"/>
          <w:sz w:val="32"/>
          <w:szCs w:val="32"/>
          <w:lang w:val="en-US" w:eastAsia="zh-CN"/>
        </w:rPr>
      </w:pPr>
      <w:r>
        <w:rPr>
          <w:rFonts w:hint="eastAsia"/>
          <w:spacing w:val="-4"/>
          <w:sz w:val="32"/>
          <w:szCs w:val="32"/>
          <w:lang w:val="en-US" w:eastAsia="zh-CN"/>
        </w:rPr>
        <w:t>2022 年 6 月 12 日</w:t>
      </w:r>
      <w:r>
        <w:rPr>
          <w:spacing w:val="-4"/>
          <w:sz w:val="32"/>
          <w:szCs w:val="32"/>
        </w:rPr>
        <w:t>，</w:t>
      </w:r>
      <w:r>
        <w:rPr>
          <w:rFonts w:hint="eastAsia" w:ascii="宋体" w:hAnsi="宋体" w:eastAsia="宋体" w:cs="宋体"/>
          <w:b w:val="0"/>
          <w:bCs w:val="0"/>
          <w:sz w:val="32"/>
          <w:szCs w:val="32"/>
          <w:lang w:val="en-US" w:eastAsia="zh-CN" w:bidi="zh-CN"/>
        </w:rPr>
        <w:t>中物联托盘委</w:t>
      </w:r>
      <w:r>
        <w:rPr>
          <w:rFonts w:hint="eastAsia"/>
          <w:sz w:val="32"/>
          <w:szCs w:val="32"/>
          <w:lang w:val="en-US" w:eastAsia="zh-CN"/>
        </w:rPr>
        <w:t>就</w:t>
      </w:r>
      <w:r>
        <w:rPr>
          <w:spacing w:val="-4"/>
          <w:sz w:val="32"/>
          <w:szCs w:val="32"/>
        </w:rPr>
        <w:t>《</w:t>
      </w:r>
      <w:r>
        <w:rPr>
          <w:rFonts w:hint="eastAsia"/>
          <w:spacing w:val="-4"/>
          <w:sz w:val="32"/>
          <w:szCs w:val="32"/>
          <w:lang w:val="en-US" w:eastAsia="zh-CN"/>
        </w:rPr>
        <w:t>质量分级及</w:t>
      </w:r>
      <w:r>
        <w:rPr>
          <w:spacing w:val="-4"/>
          <w:sz w:val="32"/>
          <w:szCs w:val="32"/>
        </w:rPr>
        <w:t xml:space="preserve">“领跑者”标准评价要求 </w:t>
      </w:r>
      <w:r>
        <w:rPr>
          <w:rFonts w:hint="eastAsia" w:ascii="宋体" w:hAnsi="宋体" w:eastAsia="宋体" w:cs="宋体"/>
          <w:b w:val="0"/>
          <w:bCs w:val="0"/>
          <w:sz w:val="32"/>
          <w:szCs w:val="32"/>
          <w:lang w:val="en-US" w:eastAsia="zh-CN" w:bidi="zh-CN"/>
        </w:rPr>
        <w:t>托盘</w:t>
      </w:r>
      <w:r>
        <w:rPr>
          <w:rFonts w:hint="eastAsia" w:cs="宋体"/>
          <w:b w:val="0"/>
          <w:bCs w:val="0"/>
          <w:sz w:val="32"/>
          <w:szCs w:val="32"/>
          <w:lang w:val="en-US" w:eastAsia="zh-CN" w:bidi="zh-CN"/>
        </w:rPr>
        <w:t>租赁服务</w:t>
      </w:r>
      <w:r>
        <w:rPr>
          <w:spacing w:val="-4"/>
          <w:sz w:val="32"/>
          <w:szCs w:val="32"/>
        </w:rPr>
        <w:t>》</w:t>
      </w:r>
      <w:r>
        <w:rPr>
          <w:rFonts w:hint="eastAsia"/>
          <w:sz w:val="32"/>
          <w:szCs w:val="32"/>
          <w:lang w:val="en-US" w:eastAsia="zh-CN"/>
        </w:rPr>
        <w:t>中的重要内容和指标体系框架制作调查问卷开展企业调研</w:t>
      </w:r>
      <w:r>
        <w:rPr>
          <w:rFonts w:hint="eastAsia"/>
          <w:spacing w:val="-4"/>
          <w:sz w:val="32"/>
          <w:szCs w:val="32"/>
          <w:lang w:val="en-US" w:eastAsia="zh-CN"/>
        </w:rPr>
        <w:t>。</w:t>
      </w:r>
    </w:p>
    <w:p>
      <w:pPr>
        <w:pStyle w:val="3"/>
        <w:spacing w:line="417" w:lineRule="auto"/>
        <w:ind w:right="298" w:firstLine="604" w:firstLineChars="200"/>
        <w:jc w:val="both"/>
        <w:rPr>
          <w:rFonts w:hint="eastAsia" w:eastAsia="宋体"/>
          <w:spacing w:val="-3"/>
          <w:sz w:val="32"/>
          <w:szCs w:val="32"/>
          <w:lang w:val="en-US" w:eastAsia="zh-CN"/>
        </w:rPr>
      </w:pPr>
      <w:r>
        <w:rPr>
          <w:rFonts w:hint="eastAsia"/>
          <w:spacing w:val="-9"/>
          <w:sz w:val="32"/>
          <w:szCs w:val="32"/>
          <w:highlight w:val="none"/>
          <w:lang w:val="en-US" w:eastAsia="zh-CN"/>
        </w:rPr>
        <w:t>2002</w:t>
      </w:r>
      <w:r>
        <w:rPr>
          <w:rFonts w:hint="eastAsia"/>
          <w:spacing w:val="-4"/>
          <w:sz w:val="32"/>
          <w:szCs w:val="32"/>
          <w:highlight w:val="none"/>
          <w:lang w:val="en-US" w:eastAsia="zh-CN"/>
        </w:rPr>
        <w:t xml:space="preserve"> 年 7 月 5 日</w:t>
      </w:r>
      <w:r>
        <w:rPr>
          <w:spacing w:val="-4"/>
          <w:sz w:val="32"/>
          <w:szCs w:val="32"/>
        </w:rPr>
        <w:t>，</w:t>
      </w:r>
      <w:r>
        <w:rPr>
          <w:rFonts w:hint="eastAsia" w:ascii="宋体" w:hAnsi="宋体" w:eastAsia="宋体" w:cs="宋体"/>
          <w:b w:val="0"/>
          <w:bCs w:val="0"/>
          <w:sz w:val="32"/>
          <w:szCs w:val="32"/>
          <w:lang w:val="en-US" w:eastAsia="zh-CN" w:bidi="zh-CN"/>
        </w:rPr>
        <w:t>中物联托盘委</w:t>
      </w:r>
      <w:r>
        <w:rPr>
          <w:rFonts w:hint="eastAsia"/>
          <w:sz w:val="32"/>
          <w:szCs w:val="32"/>
          <w:lang w:val="en-US" w:eastAsia="zh-CN"/>
        </w:rPr>
        <w:t>对</w:t>
      </w:r>
      <w:r>
        <w:rPr>
          <w:spacing w:val="-4"/>
          <w:sz w:val="32"/>
          <w:szCs w:val="32"/>
        </w:rPr>
        <w:t>《</w:t>
      </w:r>
      <w:r>
        <w:rPr>
          <w:rFonts w:hint="eastAsia"/>
          <w:spacing w:val="-4"/>
          <w:sz w:val="32"/>
          <w:szCs w:val="32"/>
          <w:lang w:val="en-US" w:eastAsia="zh-CN"/>
        </w:rPr>
        <w:t>质量分级及</w:t>
      </w:r>
      <w:r>
        <w:rPr>
          <w:spacing w:val="-4"/>
          <w:sz w:val="32"/>
          <w:szCs w:val="32"/>
        </w:rPr>
        <w:t xml:space="preserve">“领跑者”标准评价要求 </w:t>
      </w:r>
      <w:r>
        <w:rPr>
          <w:rFonts w:hint="eastAsia" w:ascii="宋体" w:hAnsi="宋体" w:eastAsia="宋体" w:cs="宋体"/>
          <w:b w:val="0"/>
          <w:bCs w:val="0"/>
          <w:sz w:val="32"/>
          <w:szCs w:val="32"/>
          <w:lang w:val="en-US" w:eastAsia="zh-CN" w:bidi="zh-CN"/>
        </w:rPr>
        <w:t>托盘</w:t>
      </w:r>
      <w:r>
        <w:rPr>
          <w:rFonts w:hint="eastAsia" w:cs="宋体"/>
          <w:b w:val="0"/>
          <w:bCs w:val="0"/>
          <w:sz w:val="32"/>
          <w:szCs w:val="32"/>
          <w:lang w:val="en-US" w:eastAsia="zh-CN" w:bidi="zh-CN"/>
        </w:rPr>
        <w:t>租赁服务</w:t>
      </w:r>
      <w:r>
        <w:rPr>
          <w:spacing w:val="-4"/>
          <w:sz w:val="32"/>
          <w:szCs w:val="32"/>
        </w:rPr>
        <w:t>》</w:t>
      </w:r>
      <w:r>
        <w:rPr>
          <w:rFonts w:hint="eastAsia"/>
          <w:sz w:val="32"/>
          <w:szCs w:val="32"/>
          <w:lang w:val="en-US" w:eastAsia="zh-CN"/>
        </w:rPr>
        <w:t>调查问卷进行统计</w:t>
      </w:r>
      <w:r>
        <w:rPr>
          <w:rFonts w:hint="eastAsia"/>
          <w:spacing w:val="-4"/>
          <w:sz w:val="32"/>
          <w:szCs w:val="32"/>
          <w:lang w:val="en-US" w:eastAsia="zh-CN"/>
        </w:rPr>
        <w:t>，共回收调查问卷</w:t>
      </w:r>
      <w:r>
        <w:rPr>
          <w:rFonts w:hint="eastAsia"/>
          <w:spacing w:val="-3"/>
          <w:sz w:val="32"/>
          <w:szCs w:val="32"/>
          <w:lang w:eastAsia="zh-CN"/>
        </w:rPr>
        <w:t>23份</w:t>
      </w:r>
      <w:r>
        <w:rPr>
          <w:rFonts w:hint="eastAsia"/>
          <w:spacing w:val="-4"/>
          <w:sz w:val="32"/>
          <w:szCs w:val="32"/>
          <w:lang w:val="en-US" w:eastAsia="zh-CN"/>
        </w:rPr>
        <w:t>，起草组</w:t>
      </w:r>
      <w:r>
        <w:rPr>
          <w:rFonts w:hint="eastAsia"/>
          <w:sz w:val="32"/>
          <w:szCs w:val="32"/>
          <w:lang w:val="en-US" w:eastAsia="zh-CN"/>
        </w:rPr>
        <w:t>根据调研的数据对核心指标数值进行调整</w:t>
      </w:r>
      <w:r>
        <w:rPr>
          <w:spacing w:val="-9"/>
          <w:sz w:val="32"/>
          <w:szCs w:val="32"/>
        </w:rPr>
        <w:t>，并与各参与</w:t>
      </w:r>
      <w:r>
        <w:rPr>
          <w:spacing w:val="-3"/>
          <w:sz w:val="32"/>
          <w:szCs w:val="32"/>
        </w:rPr>
        <w:t>单位多轮沟通，</w:t>
      </w:r>
      <w:r>
        <w:rPr>
          <w:rFonts w:hint="eastAsia"/>
          <w:spacing w:val="-3"/>
          <w:sz w:val="32"/>
          <w:szCs w:val="32"/>
          <w:lang w:val="en-US" w:eastAsia="zh-CN"/>
        </w:rPr>
        <w:t>最终</w:t>
      </w:r>
      <w:r>
        <w:rPr>
          <w:spacing w:val="-3"/>
          <w:sz w:val="32"/>
          <w:szCs w:val="32"/>
        </w:rPr>
        <w:t>形成了征求意见稿</w:t>
      </w:r>
      <w:r>
        <w:rPr>
          <w:rFonts w:hint="eastAsia"/>
          <w:spacing w:val="-3"/>
          <w:sz w:val="32"/>
          <w:szCs w:val="32"/>
          <w:lang w:eastAsia="zh-CN"/>
        </w:rPr>
        <w:t>。</w:t>
      </w:r>
    </w:p>
    <w:p>
      <w:pPr>
        <w:pStyle w:val="3"/>
        <w:spacing w:before="223" w:line="417" w:lineRule="auto"/>
        <w:ind w:right="4543" w:firstLine="640" w:firstLineChars="200"/>
        <w:outlineLvl w:val="0"/>
        <w:rPr>
          <w:rFonts w:hint="default"/>
          <w:lang w:val="en-US"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标准编制原则</w:t>
      </w:r>
      <w:bookmarkEnd w:id="6"/>
    </w:p>
    <w:p>
      <w:pPr>
        <w:pStyle w:val="3"/>
        <w:spacing w:before="223" w:line="417" w:lineRule="auto"/>
        <w:ind w:right="4543"/>
        <w:rPr>
          <w:rFonts w:hint="eastAsia" w:ascii="宋体" w:hAnsi="宋体" w:eastAsia="宋体" w:cs="宋体"/>
          <w:sz w:val="32"/>
          <w:szCs w:val="32"/>
        </w:rPr>
      </w:pPr>
      <w:r>
        <w:rPr>
          <w:rFonts w:hint="eastAsia" w:ascii="宋体" w:hAnsi="宋体" w:eastAsia="宋体" w:cs="宋体"/>
          <w:sz w:val="32"/>
          <w:szCs w:val="32"/>
        </w:rPr>
        <w:t>本标准的制定依据以下原则：</w:t>
      </w:r>
    </w:p>
    <w:p>
      <w:pPr>
        <w:pStyle w:val="3"/>
        <w:spacing w:before="223" w:line="417" w:lineRule="auto"/>
        <w:ind w:right="4543" w:firstLine="640" w:firstLineChars="200"/>
        <w:rPr>
          <w:rFonts w:hint="eastAsia" w:ascii="宋体" w:hAnsi="宋体" w:eastAsia="宋体" w:cs="宋体"/>
          <w:sz w:val="32"/>
          <w:szCs w:val="32"/>
        </w:rPr>
      </w:pPr>
      <w:r>
        <w:rPr>
          <w:rFonts w:hint="eastAsia" w:ascii="宋体" w:hAnsi="宋体" w:eastAsia="宋体" w:cs="宋体"/>
          <w:sz w:val="32"/>
          <w:szCs w:val="32"/>
        </w:rPr>
        <w:t>1.适用性原则</w:t>
      </w:r>
    </w:p>
    <w:p>
      <w:pPr>
        <w:pStyle w:val="3"/>
        <w:spacing w:line="417" w:lineRule="auto"/>
        <w:ind w:right="343" w:firstLine="640" w:firstLineChars="200"/>
        <w:jc w:val="both"/>
        <w:rPr>
          <w:rFonts w:hint="eastAsia" w:ascii="宋体" w:hAnsi="宋体" w:eastAsia="宋体" w:cs="宋体"/>
          <w:sz w:val="32"/>
          <w:szCs w:val="32"/>
        </w:rPr>
      </w:pPr>
      <w:r>
        <w:rPr>
          <w:rFonts w:hint="eastAsia" w:ascii="宋体" w:hAnsi="宋体" w:eastAsia="宋体" w:cs="宋体"/>
          <w:sz w:val="32"/>
          <w:szCs w:val="32"/>
        </w:rPr>
        <w:t>本标准的编制充分考虑与我国现行法律法规和技术标准相符合， 同时兼顾了产品自身技术特点的要求和对产品技术发展的促进作用，也兼顾了标准的可操作性。</w:t>
      </w:r>
    </w:p>
    <w:p>
      <w:pPr>
        <w:pStyle w:val="3"/>
        <w:spacing w:line="358"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2.规范性原则</w:t>
      </w:r>
    </w:p>
    <w:p>
      <w:pPr>
        <w:pStyle w:val="3"/>
        <w:spacing w:before="9"/>
        <w:rPr>
          <w:rFonts w:hint="eastAsia" w:ascii="宋体" w:hAnsi="宋体" w:eastAsia="宋体" w:cs="宋体"/>
          <w:sz w:val="32"/>
          <w:szCs w:val="32"/>
        </w:rPr>
      </w:pPr>
    </w:p>
    <w:p>
      <w:pPr>
        <w:pStyle w:val="3"/>
        <w:spacing w:line="417" w:lineRule="auto"/>
        <w:ind w:right="432" w:firstLine="596" w:firstLineChars="200"/>
        <w:jc w:val="both"/>
        <w:rPr>
          <w:rFonts w:hint="eastAsia" w:ascii="宋体" w:hAnsi="宋体" w:eastAsia="宋体" w:cs="宋体"/>
          <w:sz w:val="32"/>
          <w:szCs w:val="32"/>
        </w:rPr>
      </w:pPr>
      <w:r>
        <w:rPr>
          <w:rFonts w:hint="eastAsia" w:ascii="宋体" w:hAnsi="宋体" w:eastAsia="宋体" w:cs="宋体"/>
          <w:spacing w:val="-11"/>
          <w:sz w:val="32"/>
          <w:szCs w:val="32"/>
        </w:rPr>
        <w:t>本标准根据《中华人民共和国标准</w:t>
      </w:r>
      <w:r>
        <w:rPr>
          <w:rFonts w:hint="eastAsia" w:cs="宋体"/>
          <w:spacing w:val="-11"/>
          <w:sz w:val="32"/>
          <w:szCs w:val="32"/>
          <w:lang w:val="en-US" w:eastAsia="zh-CN"/>
        </w:rPr>
        <w:t>化</w:t>
      </w:r>
      <w:r>
        <w:rPr>
          <w:rFonts w:hint="eastAsia" w:ascii="宋体" w:hAnsi="宋体" w:eastAsia="宋体" w:cs="宋体"/>
          <w:spacing w:val="-11"/>
          <w:sz w:val="32"/>
          <w:szCs w:val="32"/>
        </w:rPr>
        <w:t>法》、</w:t>
      </w:r>
      <w:r>
        <w:rPr>
          <w:rFonts w:hint="eastAsia" w:ascii="宋体" w:hAnsi="宋体" w:eastAsia="宋体" w:cs="宋体"/>
          <w:sz w:val="32"/>
          <w:szCs w:val="32"/>
        </w:rPr>
        <w:t xml:space="preserve">GB/T </w:t>
      </w:r>
      <w:r>
        <w:rPr>
          <w:rFonts w:hint="eastAsia" w:ascii="宋体" w:hAnsi="宋体" w:eastAsia="宋体" w:cs="宋体"/>
          <w:spacing w:val="-5"/>
          <w:sz w:val="32"/>
          <w:szCs w:val="32"/>
        </w:rPr>
        <w:t>1.1-2020</w:t>
      </w:r>
      <w:r>
        <w:rPr>
          <w:rFonts w:hint="eastAsia" w:ascii="宋体" w:hAnsi="宋体" w:eastAsia="宋体" w:cs="宋体"/>
          <w:spacing w:val="-1"/>
          <w:sz w:val="32"/>
          <w:szCs w:val="32"/>
        </w:rPr>
        <w:t>《标准化工作导则第1部分：标准化文件的结构和起草规则</w:t>
      </w:r>
      <w:r>
        <w:rPr>
          <w:rFonts w:hint="eastAsia" w:ascii="宋体" w:hAnsi="宋体" w:eastAsia="宋体" w:cs="宋体"/>
          <w:spacing w:val="-18"/>
          <w:sz w:val="32"/>
          <w:szCs w:val="32"/>
        </w:rPr>
        <w:t>》、</w:t>
      </w:r>
      <w:r>
        <w:rPr>
          <w:rFonts w:hint="eastAsia" w:ascii="宋体" w:hAnsi="宋体" w:eastAsia="宋体" w:cs="宋体"/>
          <w:sz w:val="32"/>
          <w:szCs w:val="32"/>
        </w:rPr>
        <w:t xml:space="preserve">T/CAQP </w:t>
      </w:r>
      <w:r>
        <w:rPr>
          <w:rFonts w:hint="eastAsia" w:ascii="宋体" w:hAnsi="宋体" w:eastAsia="宋体" w:cs="宋体"/>
          <w:spacing w:val="-16"/>
          <w:sz w:val="32"/>
          <w:szCs w:val="32"/>
        </w:rPr>
        <w:t>015</w:t>
      </w:r>
      <w:r>
        <w:rPr>
          <w:rFonts w:hint="eastAsia" w:ascii="宋体" w:hAnsi="宋体" w:eastAsia="宋体" w:cs="宋体"/>
          <w:spacing w:val="-1"/>
          <w:sz w:val="32"/>
          <w:szCs w:val="32"/>
        </w:rPr>
        <w:t>《“领跑者”</w:t>
      </w:r>
      <w:r>
        <w:rPr>
          <w:rFonts w:hint="eastAsia" w:ascii="宋体" w:hAnsi="宋体" w:eastAsia="宋体" w:cs="宋体"/>
          <w:spacing w:val="-3"/>
          <w:sz w:val="32"/>
          <w:szCs w:val="32"/>
        </w:rPr>
        <w:t>标准编制通则》进行编制。</w:t>
      </w:r>
    </w:p>
    <w:p>
      <w:pPr>
        <w:pStyle w:val="3"/>
        <w:spacing w:line="417" w:lineRule="auto"/>
        <w:ind w:right="437" w:firstLine="640" w:firstLineChars="200"/>
        <w:rPr>
          <w:rFonts w:hint="eastAsia" w:ascii="宋体" w:hAnsi="宋体" w:eastAsia="宋体" w:cs="宋体"/>
          <w:sz w:val="32"/>
          <w:szCs w:val="32"/>
        </w:rPr>
      </w:pPr>
      <w:r>
        <w:rPr>
          <w:rFonts w:hint="eastAsia" w:ascii="宋体" w:hAnsi="宋体" w:eastAsia="宋体" w:cs="宋体"/>
          <w:sz w:val="32"/>
          <w:szCs w:val="32"/>
        </w:rPr>
        <w:t>本标准编制所参考的依据为国家有关法律法规以及强制性标准要求、国家及行业产品或服务标准、国内先进产品标准等。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b/>
          <w:sz w:val="32"/>
        </w:rPr>
      </w:pPr>
      <w:bookmarkStart w:id="7" w:name="三、采用国际标准和国外先进标准情况"/>
      <w:bookmarkEnd w:id="7"/>
      <w:bookmarkStart w:id="8" w:name="四、主要试验验证情况"/>
      <w:bookmarkEnd w:id="8"/>
      <w:bookmarkStart w:id="9" w:name="_Toc32032"/>
      <w:r>
        <w:rPr>
          <w:rFonts w:hint="eastAsia" w:ascii="黑体" w:hAnsi="黑体" w:eastAsia="黑体" w:cs="黑体"/>
          <w:b w:val="0"/>
          <w:bCs w:val="0"/>
          <w:sz w:val="32"/>
          <w:szCs w:val="32"/>
        </w:rPr>
        <w:t>六、标准主要内容</w:t>
      </w:r>
      <w:bookmarkEnd w:id="9"/>
    </w:p>
    <w:p>
      <w:pPr>
        <w:pStyle w:val="3"/>
        <w:spacing w:before="223"/>
        <w:ind w:firstLine="640" w:firstLineChars="200"/>
        <w:rPr>
          <w:rFonts w:hint="eastAsia"/>
          <w:sz w:val="32"/>
          <w:szCs w:val="32"/>
        </w:rPr>
      </w:pPr>
      <w:r>
        <w:rPr>
          <w:rFonts w:hint="eastAsia"/>
          <w:sz w:val="32"/>
          <w:szCs w:val="32"/>
          <w:lang w:val="en-US" w:eastAsia="zh-CN"/>
        </w:rPr>
        <w:t>1、</w:t>
      </w:r>
      <w:r>
        <w:rPr>
          <w:rFonts w:hint="eastAsia"/>
          <w:sz w:val="32"/>
          <w:szCs w:val="32"/>
        </w:rPr>
        <w:t>规范性引用文件：</w:t>
      </w:r>
    </w:p>
    <w:p>
      <w:pPr>
        <w:pStyle w:val="3"/>
        <w:spacing w:before="223"/>
        <w:rPr>
          <w:rFonts w:hint="eastAsia"/>
          <w:sz w:val="32"/>
          <w:szCs w:val="32"/>
        </w:rPr>
      </w:pPr>
      <w:r>
        <w:rPr>
          <w:rFonts w:hint="eastAsia"/>
          <w:sz w:val="32"/>
          <w:szCs w:val="32"/>
        </w:rPr>
        <w:t>GB/T 3716 托盘术语</w:t>
      </w:r>
    </w:p>
    <w:p>
      <w:pPr>
        <w:pStyle w:val="3"/>
        <w:spacing w:before="223"/>
        <w:rPr>
          <w:rFonts w:hint="eastAsia"/>
          <w:sz w:val="32"/>
          <w:szCs w:val="32"/>
        </w:rPr>
      </w:pPr>
      <w:r>
        <w:rPr>
          <w:rFonts w:hint="eastAsia"/>
          <w:sz w:val="32"/>
          <w:szCs w:val="32"/>
        </w:rPr>
        <w:t>GB T 18354 物流术语</w:t>
      </w:r>
    </w:p>
    <w:p>
      <w:pPr>
        <w:pStyle w:val="3"/>
        <w:spacing w:before="223"/>
        <w:rPr>
          <w:rFonts w:hint="eastAsia"/>
          <w:sz w:val="32"/>
          <w:szCs w:val="32"/>
        </w:rPr>
      </w:pPr>
      <w:r>
        <w:rPr>
          <w:rFonts w:hint="eastAsia"/>
          <w:sz w:val="32"/>
          <w:szCs w:val="32"/>
        </w:rPr>
        <w:t>GB/T 19001 质量管理体系 要求</w:t>
      </w:r>
    </w:p>
    <w:p>
      <w:pPr>
        <w:pStyle w:val="3"/>
        <w:spacing w:before="223"/>
        <w:rPr>
          <w:rFonts w:hint="eastAsia"/>
          <w:sz w:val="32"/>
          <w:szCs w:val="32"/>
        </w:rPr>
      </w:pPr>
      <w:r>
        <w:rPr>
          <w:rFonts w:hint="eastAsia"/>
          <w:sz w:val="32"/>
          <w:szCs w:val="32"/>
        </w:rPr>
        <w:t>GB/T 24001 环境管理体系 要求及使用指南</w:t>
      </w:r>
    </w:p>
    <w:p>
      <w:pPr>
        <w:pStyle w:val="3"/>
        <w:spacing w:before="223"/>
        <w:rPr>
          <w:rFonts w:hint="eastAsia"/>
          <w:sz w:val="32"/>
          <w:szCs w:val="32"/>
        </w:rPr>
      </w:pPr>
      <w:r>
        <w:rPr>
          <w:rFonts w:hint="eastAsia"/>
          <w:sz w:val="32"/>
          <w:szCs w:val="32"/>
        </w:rPr>
        <w:t>GB/T 34396 托盘共用系统木质平托盘维修规范</w:t>
      </w:r>
    </w:p>
    <w:p>
      <w:pPr>
        <w:pStyle w:val="3"/>
        <w:spacing w:before="223"/>
        <w:rPr>
          <w:rFonts w:hint="eastAsia"/>
          <w:sz w:val="32"/>
          <w:szCs w:val="32"/>
        </w:rPr>
      </w:pPr>
      <w:r>
        <w:rPr>
          <w:rFonts w:hint="eastAsia"/>
          <w:sz w:val="32"/>
          <w:szCs w:val="32"/>
        </w:rPr>
        <w:t>GB/T 34397 托盘共用系统管理规范</w:t>
      </w:r>
    </w:p>
    <w:p>
      <w:pPr>
        <w:pStyle w:val="3"/>
        <w:spacing w:before="223" w:line="360" w:lineRule="auto"/>
        <w:rPr>
          <w:rFonts w:hint="eastAsia"/>
          <w:sz w:val="32"/>
          <w:szCs w:val="32"/>
        </w:rPr>
      </w:pPr>
      <w:r>
        <w:rPr>
          <w:rFonts w:hint="eastAsia"/>
          <w:sz w:val="32"/>
          <w:szCs w:val="32"/>
        </w:rPr>
        <w:t>GB/T 45001 职业健康安全管理体系 要求及使用指南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ascii="宋体" w:hAnsi="宋体" w:eastAsia="宋体" w:cs="宋体"/>
          <w:b w:val="0"/>
          <w:bCs w:val="0"/>
          <w:sz w:val="32"/>
          <w:szCs w:val="32"/>
        </w:rPr>
      </w:pPr>
      <w:r>
        <w:rPr>
          <w:rFonts w:hint="eastAsia" w:cs="宋体"/>
          <w:b w:val="0"/>
          <w:bCs w:val="0"/>
          <w:sz w:val="32"/>
          <w:szCs w:val="32"/>
          <w:lang w:val="en-US" w:eastAsia="zh-CN"/>
        </w:rPr>
        <w:t>2、</w:t>
      </w:r>
      <w:r>
        <w:rPr>
          <w:rFonts w:hint="eastAsia" w:ascii="宋体" w:hAnsi="宋体" w:eastAsia="宋体" w:cs="宋体"/>
          <w:b w:val="0"/>
          <w:bCs w:val="0"/>
          <w:sz w:val="32"/>
          <w:szCs w:val="32"/>
        </w:rPr>
        <w:t>术语和定义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GB/T 3716、GB/T 18354界定的以及下列术语和定义适用于本文件。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托盘服务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托盘服务是提供给客户使用并允许客户随租随退和维修维护的托盘供应模式，包括托盘租赁、回收、维修保养等。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托盘循环共用系统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sz w:val="32"/>
          <w:szCs w:val="32"/>
        </w:rPr>
      </w:pPr>
      <w:r>
        <w:rPr>
          <w:rFonts w:hint="eastAsia" w:ascii="宋体" w:hAnsi="宋体" w:eastAsia="宋体" w:cs="宋体"/>
          <w:b w:val="0"/>
          <w:bCs w:val="0"/>
          <w:sz w:val="32"/>
          <w:szCs w:val="32"/>
        </w:rPr>
        <w:t>在多个用户间实现托盘共享、交换、重复使用的综合性物流服务系统。[GB/T 18354—2021，定义5.6]</w:t>
      </w:r>
    </w:p>
    <w:p>
      <w:pPr>
        <w:pStyle w:val="3"/>
        <w:spacing w:before="223"/>
        <w:ind w:firstLine="640" w:firstLineChars="200"/>
        <w:rPr>
          <w:sz w:val="32"/>
          <w:szCs w:val="32"/>
        </w:rPr>
      </w:pPr>
      <w:r>
        <w:rPr>
          <w:rFonts w:hint="eastAsia"/>
          <w:sz w:val="32"/>
          <w:szCs w:val="32"/>
          <w:lang w:val="en-US" w:eastAsia="zh-CN"/>
        </w:rPr>
        <w:t>3</w:t>
      </w:r>
      <w:r>
        <w:rPr>
          <w:sz w:val="32"/>
          <w:szCs w:val="32"/>
        </w:rPr>
        <w:t>、评价指标分类</w:t>
      </w:r>
    </w:p>
    <w:p>
      <w:pPr>
        <w:pStyle w:val="3"/>
        <w:spacing w:before="9"/>
        <w:rPr>
          <w:sz w:val="32"/>
          <w:szCs w:val="32"/>
        </w:rPr>
      </w:pPr>
    </w:p>
    <w:p>
      <w:pPr>
        <w:pStyle w:val="3"/>
        <w:spacing w:line="417" w:lineRule="auto"/>
        <w:ind w:right="437" w:firstLine="640" w:firstLineChars="200"/>
        <w:rPr>
          <w:sz w:val="32"/>
          <w:szCs w:val="32"/>
        </w:rPr>
      </w:pPr>
      <w:r>
        <w:rPr>
          <w:rFonts w:hint="eastAsia"/>
          <w:sz w:val="32"/>
          <w:szCs w:val="32"/>
          <w:lang w:val="en-US" w:eastAsia="zh-CN"/>
        </w:rPr>
        <w:t>质量分级及托盘租赁服务</w:t>
      </w:r>
      <w:r>
        <w:rPr>
          <w:sz w:val="32"/>
          <w:szCs w:val="32"/>
        </w:rPr>
        <w:t>“领跑者”标准的评价指标分为：基础指标、核心指标和创新性指标。</w:t>
      </w:r>
    </w:p>
    <w:p>
      <w:pPr>
        <w:pStyle w:val="3"/>
        <w:spacing w:line="360" w:lineRule="auto"/>
        <w:ind w:firstLine="640" w:firstLineChars="200"/>
        <w:rPr>
          <w:rFonts w:hint="eastAsia"/>
          <w:sz w:val="32"/>
          <w:szCs w:val="32"/>
        </w:rPr>
      </w:pPr>
      <w:r>
        <w:rPr>
          <w:rFonts w:hint="eastAsia"/>
          <w:sz w:val="32"/>
          <w:szCs w:val="32"/>
        </w:rPr>
        <w:t>基础指标包括：服务保障、共用托盘通用要求、作业和运营管理平台的要求、组件材料、尺寸允差（含组件）、维修原则</w:t>
      </w:r>
      <w:r>
        <w:rPr>
          <w:rFonts w:hint="eastAsia"/>
          <w:sz w:val="32"/>
          <w:szCs w:val="32"/>
          <w:lang w:eastAsia="zh-CN"/>
        </w:rPr>
        <w:t>、</w:t>
      </w:r>
      <w:r>
        <w:rPr>
          <w:rFonts w:hint="eastAsia"/>
          <w:sz w:val="32"/>
          <w:szCs w:val="32"/>
        </w:rPr>
        <w:t>维修标识、维修检验、回收处理。</w:t>
      </w:r>
    </w:p>
    <w:p>
      <w:pPr>
        <w:pStyle w:val="3"/>
        <w:spacing w:before="9"/>
        <w:ind w:firstLine="640" w:firstLineChars="200"/>
        <w:rPr>
          <w:rFonts w:hint="eastAsia"/>
          <w:sz w:val="32"/>
          <w:szCs w:val="32"/>
        </w:rPr>
      </w:pPr>
      <w:r>
        <w:rPr>
          <w:rFonts w:hint="eastAsia"/>
          <w:sz w:val="32"/>
          <w:szCs w:val="32"/>
        </w:rPr>
        <w:t>核心指标包括：托盘池数量、年在租量、年维修数量、客户投诉率、服务满意度、维修合格率、维修网点和租赁网点。</w:t>
      </w:r>
    </w:p>
    <w:p>
      <w:pPr>
        <w:pStyle w:val="3"/>
        <w:spacing w:before="9"/>
        <w:ind w:firstLine="640" w:firstLineChars="200"/>
        <w:rPr>
          <w:sz w:val="32"/>
          <w:szCs w:val="32"/>
        </w:rPr>
      </w:pPr>
    </w:p>
    <w:p>
      <w:pPr>
        <w:pStyle w:val="3"/>
        <w:spacing w:before="9" w:line="360" w:lineRule="auto"/>
        <w:ind w:firstLine="640" w:firstLineChars="200"/>
        <w:rPr>
          <w:sz w:val="32"/>
          <w:szCs w:val="32"/>
        </w:rPr>
      </w:pPr>
      <w:r>
        <w:rPr>
          <w:rFonts w:hint="eastAsia"/>
          <w:sz w:val="32"/>
          <w:szCs w:val="32"/>
        </w:rPr>
        <w:t>创新性指标包括：E</w:t>
      </w:r>
      <w:r>
        <w:rPr>
          <w:rFonts w:hint="eastAsia"/>
          <w:sz w:val="32"/>
          <w:szCs w:val="32"/>
          <w:lang w:val="en-US" w:eastAsia="zh-CN"/>
        </w:rPr>
        <w:t>RP</w:t>
      </w:r>
      <w:r>
        <w:rPr>
          <w:rFonts w:hint="eastAsia"/>
          <w:sz w:val="32"/>
          <w:szCs w:val="32"/>
        </w:rPr>
        <w:t>管理和</w:t>
      </w:r>
      <w:r>
        <w:rPr>
          <w:rFonts w:hint="eastAsia"/>
          <w:sz w:val="32"/>
          <w:szCs w:val="32"/>
          <w:lang w:val="en-US" w:eastAsia="zh-CN"/>
        </w:rPr>
        <w:t>跨境服务</w:t>
      </w:r>
      <w:r>
        <w:rPr>
          <w:rFonts w:hint="eastAsia"/>
          <w:sz w:val="32"/>
          <w:szCs w:val="32"/>
        </w:rPr>
        <w:t>。</w:t>
      </w:r>
    </w:p>
    <w:p>
      <w:pPr>
        <w:pStyle w:val="3"/>
        <w:spacing w:line="360" w:lineRule="auto"/>
        <w:ind w:firstLine="640" w:firstLineChars="200"/>
        <w:rPr>
          <w:rFonts w:hint="default" w:eastAsia="宋体"/>
          <w:sz w:val="32"/>
          <w:szCs w:val="32"/>
          <w:lang w:val="en-US" w:eastAsia="zh-CN"/>
        </w:rPr>
      </w:pPr>
      <w:r>
        <w:rPr>
          <w:rFonts w:hint="eastAsia"/>
          <w:sz w:val="32"/>
          <w:szCs w:val="32"/>
          <w:lang w:val="en-US" w:eastAsia="zh-CN"/>
        </w:rPr>
        <w:t>4</w:t>
      </w:r>
      <w:r>
        <w:rPr>
          <w:sz w:val="32"/>
          <w:szCs w:val="32"/>
        </w:rPr>
        <w:t>、评价指标</w:t>
      </w:r>
      <w:r>
        <w:rPr>
          <w:rFonts w:hint="eastAsia"/>
          <w:sz w:val="32"/>
          <w:szCs w:val="32"/>
          <w:lang w:val="en-US" w:eastAsia="zh-CN"/>
        </w:rPr>
        <w:t>体系框架</w:t>
      </w:r>
    </w:p>
    <w:p>
      <w:pPr>
        <w:pStyle w:val="3"/>
        <w:spacing w:before="9"/>
        <w:rPr>
          <w:sz w:val="20"/>
        </w:rPr>
      </w:pPr>
    </w:p>
    <w:p>
      <w:pPr>
        <w:pStyle w:val="3"/>
        <w:spacing w:before="9"/>
        <w:rPr>
          <w:sz w:val="20"/>
        </w:rPr>
      </w:pPr>
    </w:p>
    <w:p>
      <w:pPr>
        <w:pStyle w:val="3"/>
        <w:spacing w:before="9"/>
        <w:rPr>
          <w:sz w:val="20"/>
        </w:rPr>
      </w:pPr>
    </w:p>
    <w:p>
      <w:pPr>
        <w:pStyle w:val="3"/>
        <w:spacing w:before="9"/>
        <w:rPr>
          <w:sz w:val="20"/>
        </w:rPr>
      </w:pPr>
    </w:p>
    <w:p>
      <w:pPr>
        <w:pStyle w:val="3"/>
        <w:spacing w:before="9"/>
        <w:rPr>
          <w:sz w:val="20"/>
        </w:rPr>
      </w:pPr>
    </w:p>
    <w:p>
      <w:pPr>
        <w:pStyle w:val="12"/>
        <w:numPr>
          <w:ilvl w:val="0"/>
          <w:numId w:val="0"/>
        </w:numPr>
        <w:spacing w:before="120" w:after="120"/>
        <w:ind w:leftChars="0"/>
        <w:jc w:val="both"/>
        <w:rPr>
          <w:rFonts w:hint="eastAsia" w:hAnsi="黑体" w:cs="黑体"/>
          <w:lang w:eastAsia="zh-CN"/>
        </w:rPr>
        <w:sectPr>
          <w:footerReference r:id="rId6" w:type="default"/>
          <w:pgSz w:w="11910" w:h="16840"/>
          <w:pgMar w:top="1420" w:right="1360" w:bottom="1360" w:left="1360" w:header="0" w:footer="1172" w:gutter="0"/>
          <w:cols w:space="720" w:num="1"/>
        </w:sectPr>
      </w:pPr>
    </w:p>
    <w:p>
      <w:pPr>
        <w:pStyle w:val="12"/>
        <w:numPr>
          <w:ilvl w:val="0"/>
          <w:numId w:val="0"/>
        </w:numPr>
        <w:spacing w:before="120" w:after="120"/>
        <w:ind w:leftChars="0"/>
        <w:jc w:val="center"/>
        <w:rPr>
          <w:rFonts w:hAnsi="黑体" w:cs="黑体"/>
        </w:rPr>
      </w:pPr>
      <w:r>
        <w:rPr>
          <w:rFonts w:hint="eastAsia" w:hAnsi="黑体" w:cs="黑体"/>
          <w:lang w:eastAsia="zh-CN"/>
        </w:rPr>
        <w:t>表</w:t>
      </w:r>
      <w:r>
        <w:rPr>
          <w:rFonts w:hint="eastAsia" w:hAnsi="黑体" w:cs="黑体"/>
          <w:lang w:val="en-US" w:eastAsia="zh-CN"/>
        </w:rPr>
        <w:t xml:space="preserve"> 1 </w:t>
      </w:r>
      <w:r>
        <w:rPr>
          <w:rFonts w:hAnsi="黑体" w:cs="黑体"/>
        </w:rPr>
        <w:t>托盘</w:t>
      </w:r>
      <w:r>
        <w:rPr>
          <w:rFonts w:hint="eastAsia" w:hAnsi="黑体" w:cs="黑体"/>
          <w:lang w:val="en-US" w:eastAsia="zh-CN"/>
        </w:rPr>
        <w:t>租赁</w:t>
      </w:r>
      <w:r>
        <w:rPr>
          <w:rFonts w:hAnsi="黑体" w:cs="黑体"/>
        </w:rPr>
        <w:t>服务评价指标体系框架</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08"/>
        <w:gridCol w:w="1317"/>
        <w:gridCol w:w="1327"/>
        <w:gridCol w:w="1312"/>
        <w:gridCol w:w="1310"/>
        <w:gridCol w:w="1310"/>
        <w:gridCol w:w="1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4" w:type="dxa"/>
            <w:vMerge w:val="restart"/>
            <w:tcBorders>
              <w:top w:val="single" w:color="auto" w:sz="8" w:space="0"/>
            </w:tcBorders>
            <w:shd w:val="clear" w:color="auto" w:fill="auto"/>
            <w:vAlign w:val="center"/>
          </w:tcPr>
          <w:p>
            <w:pPr>
              <w:pStyle w:val="14"/>
            </w:pPr>
            <w:r>
              <w:rPr>
                <w:rFonts w:hint="eastAsia"/>
                <w:b/>
                <w:color w:val="000000"/>
              </w:rPr>
              <w:t>指标类型</w:t>
            </w:r>
          </w:p>
        </w:tc>
        <w:tc>
          <w:tcPr>
            <w:tcW w:w="1334" w:type="dxa"/>
            <w:vMerge w:val="restart"/>
            <w:tcBorders>
              <w:top w:val="single" w:color="auto" w:sz="8" w:space="0"/>
            </w:tcBorders>
            <w:shd w:val="clear" w:color="auto" w:fill="auto"/>
            <w:vAlign w:val="center"/>
          </w:tcPr>
          <w:p>
            <w:pPr>
              <w:pStyle w:val="14"/>
            </w:pPr>
            <w:r>
              <w:rPr>
                <w:rFonts w:hint="eastAsia"/>
                <w:b/>
                <w:color w:val="000000"/>
              </w:rPr>
              <w:t>评价指标</w:t>
            </w:r>
          </w:p>
        </w:tc>
        <w:tc>
          <w:tcPr>
            <w:tcW w:w="1334" w:type="dxa"/>
            <w:vMerge w:val="restart"/>
            <w:tcBorders>
              <w:top w:val="single" w:color="auto" w:sz="8" w:space="0"/>
            </w:tcBorders>
            <w:shd w:val="clear" w:color="auto" w:fill="auto"/>
            <w:vAlign w:val="center"/>
          </w:tcPr>
          <w:p>
            <w:pPr>
              <w:pStyle w:val="14"/>
            </w:pPr>
            <w:r>
              <w:rPr>
                <w:rFonts w:hint="eastAsia"/>
                <w:b/>
                <w:color w:val="000000"/>
              </w:rPr>
              <w:t>指标来源</w:t>
            </w:r>
          </w:p>
        </w:tc>
        <w:tc>
          <w:tcPr>
            <w:tcW w:w="3999" w:type="dxa"/>
            <w:gridSpan w:val="3"/>
            <w:tcBorders>
              <w:top w:val="single" w:color="auto" w:sz="8" w:space="0"/>
              <w:bottom w:val="single" w:color="auto" w:sz="8" w:space="0"/>
            </w:tcBorders>
            <w:shd w:val="clear" w:color="auto" w:fill="auto"/>
            <w:vAlign w:val="center"/>
          </w:tcPr>
          <w:p>
            <w:pPr>
              <w:pStyle w:val="14"/>
            </w:pPr>
            <w:r>
              <w:rPr>
                <w:b/>
                <w:color w:val="000000"/>
                <w:szCs w:val="18"/>
              </w:rPr>
              <w:t>指标水平分级</w:t>
            </w:r>
          </w:p>
        </w:tc>
        <w:tc>
          <w:tcPr>
            <w:tcW w:w="1333" w:type="dxa"/>
            <w:vMerge w:val="restart"/>
            <w:tcBorders>
              <w:top w:val="single" w:color="auto" w:sz="8" w:space="0"/>
            </w:tcBorders>
            <w:shd w:val="clear" w:color="auto" w:fill="auto"/>
            <w:vAlign w:val="center"/>
          </w:tcPr>
          <w:p>
            <w:pPr>
              <w:pStyle w:val="14"/>
            </w:pPr>
            <w:r>
              <w:rPr>
                <w:b/>
                <w:szCs w:val="18"/>
              </w:rPr>
              <w:t>判断依据/方法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vMerge w:val="continue"/>
            <w:shd w:val="clear" w:color="auto" w:fill="auto"/>
            <w:vAlign w:val="center"/>
          </w:tcPr>
          <w:p>
            <w:pPr>
              <w:pStyle w:val="14"/>
            </w:pPr>
          </w:p>
        </w:tc>
        <w:tc>
          <w:tcPr>
            <w:tcW w:w="1334" w:type="dxa"/>
            <w:vMerge w:val="continue"/>
            <w:shd w:val="clear" w:color="auto" w:fill="auto"/>
            <w:vAlign w:val="center"/>
          </w:tcPr>
          <w:p>
            <w:pPr>
              <w:pStyle w:val="14"/>
            </w:pPr>
          </w:p>
        </w:tc>
        <w:tc>
          <w:tcPr>
            <w:tcW w:w="1333" w:type="dxa"/>
            <w:tcBorders>
              <w:top w:val="single" w:color="auto" w:sz="8" w:space="0"/>
            </w:tcBorders>
            <w:shd w:val="clear" w:color="auto" w:fill="auto"/>
            <w:vAlign w:val="center"/>
          </w:tcPr>
          <w:p>
            <w:pPr>
              <w:pStyle w:val="14"/>
              <w:rPr>
                <w:b/>
              </w:rPr>
            </w:pPr>
            <w:r>
              <w:rPr>
                <w:b/>
                <w:szCs w:val="18"/>
              </w:rPr>
              <w:t>先进水平</w:t>
            </w:r>
          </w:p>
        </w:tc>
        <w:tc>
          <w:tcPr>
            <w:tcW w:w="1333" w:type="dxa"/>
            <w:tcBorders>
              <w:top w:val="single" w:color="auto" w:sz="8" w:space="0"/>
            </w:tcBorders>
            <w:shd w:val="clear" w:color="auto" w:fill="auto"/>
            <w:vAlign w:val="center"/>
          </w:tcPr>
          <w:p>
            <w:pPr>
              <w:pStyle w:val="14"/>
              <w:rPr>
                <w:b/>
                <w:szCs w:val="18"/>
              </w:rPr>
            </w:pPr>
            <w:r>
              <w:rPr>
                <w:b/>
                <w:szCs w:val="18"/>
              </w:rPr>
              <w:t>平均水平</w:t>
            </w:r>
          </w:p>
        </w:tc>
        <w:tc>
          <w:tcPr>
            <w:tcW w:w="1333" w:type="dxa"/>
            <w:tcBorders>
              <w:top w:val="single" w:color="auto" w:sz="8" w:space="0"/>
            </w:tcBorders>
            <w:shd w:val="clear" w:color="auto" w:fill="auto"/>
            <w:vAlign w:val="center"/>
          </w:tcPr>
          <w:p>
            <w:pPr>
              <w:pStyle w:val="14"/>
              <w:rPr>
                <w:b/>
                <w:szCs w:val="18"/>
              </w:rPr>
            </w:pPr>
            <w:r>
              <w:rPr>
                <w:b/>
                <w:szCs w:val="18"/>
              </w:rPr>
              <w:t>基准水平</w:t>
            </w:r>
          </w:p>
        </w:tc>
        <w:tc>
          <w:tcPr>
            <w:tcW w:w="1333"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restart"/>
            <w:shd w:val="clear" w:color="auto" w:fill="auto"/>
            <w:vAlign w:val="center"/>
          </w:tcPr>
          <w:p>
            <w:pPr>
              <w:pStyle w:val="14"/>
            </w:pPr>
            <w:r>
              <w:rPr>
                <w:rFonts w:hint="eastAsia"/>
              </w:rPr>
              <w:t>基础指标</w:t>
            </w:r>
          </w:p>
        </w:tc>
        <w:tc>
          <w:tcPr>
            <w:tcW w:w="1334" w:type="dxa"/>
            <w:shd w:val="clear" w:color="auto" w:fill="auto"/>
            <w:vAlign w:val="center"/>
          </w:tcPr>
          <w:p>
            <w:pPr>
              <w:pStyle w:val="14"/>
            </w:pPr>
            <w:r>
              <w:rPr>
                <w:rFonts w:hint="eastAsia"/>
                <w:szCs w:val="18"/>
              </w:rPr>
              <w:t>服务保障</w:t>
            </w:r>
          </w:p>
        </w:tc>
        <w:tc>
          <w:tcPr>
            <w:tcW w:w="1334" w:type="dxa"/>
            <w:vMerge w:val="restart"/>
            <w:shd w:val="clear" w:color="auto" w:fill="auto"/>
            <w:vAlign w:val="center"/>
          </w:tcPr>
          <w:p>
            <w:pPr>
              <w:pStyle w:val="14"/>
            </w:pPr>
            <w:r>
              <w:rPr>
                <w:szCs w:val="18"/>
              </w:rPr>
              <w:t>GB/T 34397—2017</w:t>
            </w:r>
          </w:p>
        </w:tc>
        <w:tc>
          <w:tcPr>
            <w:tcW w:w="3999" w:type="dxa"/>
            <w:gridSpan w:val="3"/>
            <w:shd w:val="clear" w:color="auto" w:fill="auto"/>
            <w:vAlign w:val="center"/>
          </w:tcPr>
          <w:p>
            <w:pPr>
              <w:pStyle w:val="14"/>
            </w:pPr>
            <w:r>
              <w:rPr>
                <w:rFonts w:hint="eastAsia"/>
                <w:szCs w:val="18"/>
              </w:rPr>
              <w:t>应符合</w:t>
            </w:r>
            <w:r>
              <w:rPr>
                <w:szCs w:val="18"/>
              </w:rPr>
              <w:t>GB/T 34397—2017</w:t>
            </w:r>
            <w:r>
              <w:rPr>
                <w:rFonts w:hint="eastAsia"/>
                <w:szCs w:val="18"/>
              </w:rPr>
              <w:t>的</w:t>
            </w:r>
            <w:r>
              <w:rPr>
                <w:szCs w:val="18"/>
              </w:rPr>
              <w:t>4.1-4.4包括服务设施、服务人员、托盘流转、供应链管理服务支持</w:t>
            </w:r>
          </w:p>
        </w:tc>
        <w:tc>
          <w:tcPr>
            <w:tcW w:w="1333" w:type="dxa"/>
            <w:shd w:val="clear" w:color="auto" w:fill="auto"/>
            <w:vAlign w:val="center"/>
          </w:tcPr>
          <w:p>
            <w:pPr>
              <w:pStyle w:val="14"/>
            </w:pPr>
            <w:r>
              <w:rPr>
                <w:rFonts w:hint="eastAsia"/>
                <w:szCs w:val="18"/>
              </w:rPr>
              <w:t>GB/T 34397—2017的第4章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pPr>
            <w:r>
              <w:rPr>
                <w:rFonts w:hint="eastAsia"/>
                <w:szCs w:val="18"/>
              </w:rPr>
              <w:t>共用托盘的通用要求</w:t>
            </w:r>
          </w:p>
        </w:tc>
        <w:tc>
          <w:tcPr>
            <w:tcW w:w="1334" w:type="dxa"/>
            <w:vMerge w:val="continue"/>
            <w:shd w:val="clear" w:color="auto" w:fill="auto"/>
            <w:vAlign w:val="center"/>
          </w:tcPr>
          <w:p>
            <w:pPr>
              <w:pStyle w:val="14"/>
            </w:pPr>
          </w:p>
        </w:tc>
        <w:tc>
          <w:tcPr>
            <w:tcW w:w="3999" w:type="dxa"/>
            <w:gridSpan w:val="3"/>
            <w:shd w:val="clear" w:color="auto" w:fill="auto"/>
            <w:vAlign w:val="center"/>
          </w:tcPr>
          <w:p>
            <w:pPr>
              <w:pStyle w:val="14"/>
            </w:pPr>
            <w:r>
              <w:rPr>
                <w:rFonts w:hint="eastAsia"/>
                <w:szCs w:val="18"/>
              </w:rPr>
              <w:t>应符合</w:t>
            </w:r>
            <w:r>
              <w:rPr>
                <w:szCs w:val="18"/>
              </w:rPr>
              <w:t>GB/T 34397—2017</w:t>
            </w:r>
            <w:r>
              <w:rPr>
                <w:rFonts w:hint="eastAsia"/>
                <w:szCs w:val="18"/>
              </w:rPr>
              <w:t>的</w:t>
            </w:r>
            <w:r>
              <w:rPr>
                <w:szCs w:val="18"/>
              </w:rPr>
              <w:t>5.1-5.7包括共用托盘的认证、共用托盘的可用性分级、共用托盘的底铺板架构、共用托盘的规格尺寸与公差、共用托盘的质量要求、共用托盘的编码与标签、共用托盘的标志</w:t>
            </w:r>
          </w:p>
        </w:tc>
        <w:tc>
          <w:tcPr>
            <w:tcW w:w="1333" w:type="dxa"/>
            <w:shd w:val="clear" w:color="auto" w:fill="auto"/>
            <w:vAlign w:val="center"/>
          </w:tcPr>
          <w:p>
            <w:pPr>
              <w:pStyle w:val="14"/>
            </w:pPr>
            <w:r>
              <w:rPr>
                <w:rFonts w:hint="eastAsia"/>
                <w:szCs w:val="18"/>
              </w:rPr>
              <w:t>GB/T 34397—2017的第5章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pPr>
            <w:r>
              <w:rPr>
                <w:rFonts w:hint="eastAsia"/>
                <w:szCs w:val="18"/>
              </w:rPr>
              <w:t>作业</w:t>
            </w:r>
          </w:p>
        </w:tc>
        <w:tc>
          <w:tcPr>
            <w:tcW w:w="1334" w:type="dxa"/>
            <w:vMerge w:val="continue"/>
            <w:shd w:val="clear" w:color="auto" w:fill="auto"/>
            <w:vAlign w:val="center"/>
          </w:tcPr>
          <w:p>
            <w:pPr>
              <w:pStyle w:val="14"/>
            </w:pPr>
          </w:p>
        </w:tc>
        <w:tc>
          <w:tcPr>
            <w:tcW w:w="3999" w:type="dxa"/>
            <w:gridSpan w:val="3"/>
            <w:shd w:val="clear" w:color="auto" w:fill="auto"/>
            <w:vAlign w:val="center"/>
          </w:tcPr>
          <w:p>
            <w:pPr>
              <w:pStyle w:val="14"/>
            </w:pPr>
            <w:r>
              <w:rPr>
                <w:rFonts w:hint="eastAsia"/>
                <w:szCs w:val="18"/>
              </w:rPr>
              <w:t>应符合</w:t>
            </w:r>
            <w:r>
              <w:rPr>
                <w:szCs w:val="18"/>
              </w:rPr>
              <w:t>GB/T 34397—2017</w:t>
            </w:r>
            <w:r>
              <w:rPr>
                <w:rFonts w:hint="eastAsia"/>
                <w:szCs w:val="18"/>
              </w:rPr>
              <w:t>的</w:t>
            </w:r>
            <w:r>
              <w:rPr>
                <w:szCs w:val="18"/>
              </w:rPr>
              <w:t>6.1-6.7包括托盘追踪与追溯、托盘分拣分级、托盘盘点、托盘搬运、托盘维修维护、托盘仓储、托盘运输</w:t>
            </w:r>
          </w:p>
        </w:tc>
        <w:tc>
          <w:tcPr>
            <w:tcW w:w="1333" w:type="dxa"/>
            <w:shd w:val="clear" w:color="auto" w:fill="auto"/>
            <w:vAlign w:val="center"/>
          </w:tcPr>
          <w:p>
            <w:pPr>
              <w:pStyle w:val="14"/>
            </w:pPr>
            <w:r>
              <w:rPr>
                <w:rFonts w:hint="eastAsia"/>
                <w:szCs w:val="18"/>
              </w:rPr>
              <w:t>GB/T 34397—2017的第6章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pPr>
            <w:r>
              <w:rPr>
                <w:rFonts w:hint="eastAsia"/>
                <w:szCs w:val="18"/>
              </w:rPr>
              <w:t>运营管理平台的要求</w:t>
            </w:r>
          </w:p>
        </w:tc>
        <w:tc>
          <w:tcPr>
            <w:tcW w:w="1334" w:type="dxa"/>
            <w:vMerge w:val="continue"/>
            <w:shd w:val="clear" w:color="auto" w:fill="auto"/>
            <w:vAlign w:val="center"/>
          </w:tcPr>
          <w:p>
            <w:pPr>
              <w:pStyle w:val="14"/>
            </w:pPr>
          </w:p>
        </w:tc>
        <w:tc>
          <w:tcPr>
            <w:tcW w:w="3999" w:type="dxa"/>
            <w:gridSpan w:val="3"/>
            <w:shd w:val="clear" w:color="auto" w:fill="auto"/>
            <w:vAlign w:val="center"/>
          </w:tcPr>
          <w:p>
            <w:pPr>
              <w:pStyle w:val="14"/>
            </w:pPr>
            <w:r>
              <w:rPr>
                <w:rFonts w:hint="eastAsia"/>
                <w:szCs w:val="18"/>
              </w:rPr>
              <w:t>应符合</w:t>
            </w:r>
            <w:r>
              <w:rPr>
                <w:szCs w:val="18"/>
              </w:rPr>
              <w:t>GB/T 34397—2017</w:t>
            </w:r>
            <w:r>
              <w:rPr>
                <w:rFonts w:hint="eastAsia"/>
                <w:szCs w:val="18"/>
              </w:rPr>
              <w:t>的</w:t>
            </w:r>
            <w:r>
              <w:rPr>
                <w:szCs w:val="18"/>
              </w:rPr>
              <w:t>7.1-7.9包括功能模块、共用托盘分账管理、数据关联、接口程序及管理权限、信息输出方式</w:t>
            </w:r>
          </w:p>
        </w:tc>
        <w:tc>
          <w:tcPr>
            <w:tcW w:w="1333" w:type="dxa"/>
            <w:shd w:val="clear" w:color="auto" w:fill="auto"/>
            <w:vAlign w:val="center"/>
          </w:tcPr>
          <w:p>
            <w:pPr>
              <w:pStyle w:val="14"/>
            </w:pPr>
            <w:r>
              <w:rPr>
                <w:rFonts w:hint="eastAsia"/>
                <w:szCs w:val="18"/>
              </w:rPr>
              <w:t>GB/T 34397—2017的第7章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pPr>
            <w:r>
              <w:rPr>
                <w:rFonts w:hint="eastAsia"/>
                <w:szCs w:val="18"/>
              </w:rPr>
              <w:t>组件材料</w:t>
            </w:r>
          </w:p>
        </w:tc>
        <w:tc>
          <w:tcPr>
            <w:tcW w:w="1334" w:type="dxa"/>
            <w:vMerge w:val="restart"/>
            <w:shd w:val="clear" w:color="auto" w:fill="auto"/>
            <w:vAlign w:val="center"/>
          </w:tcPr>
          <w:p>
            <w:pPr>
              <w:pStyle w:val="14"/>
            </w:pPr>
            <w:r>
              <w:rPr>
                <w:szCs w:val="18"/>
              </w:rPr>
              <w:t>GB/T 34396—2017</w:t>
            </w:r>
          </w:p>
        </w:tc>
        <w:tc>
          <w:tcPr>
            <w:tcW w:w="3999" w:type="dxa"/>
            <w:gridSpan w:val="3"/>
            <w:shd w:val="clear" w:color="auto" w:fill="auto"/>
            <w:vAlign w:val="center"/>
          </w:tcPr>
          <w:p>
            <w:pPr>
              <w:pStyle w:val="14"/>
            </w:pPr>
            <w:r>
              <w:rPr>
                <w:szCs w:val="18"/>
              </w:rPr>
              <w:t>托盘共用系统托盘组件出现无法接受的缺陷或者破损时，应该用一新的或可再次使用的组件更换。刚换组件的材质性能应不低于原托盘组件的材质性能</w:t>
            </w:r>
          </w:p>
        </w:tc>
        <w:tc>
          <w:tcPr>
            <w:tcW w:w="1333" w:type="dxa"/>
            <w:shd w:val="clear" w:color="auto" w:fill="auto"/>
            <w:vAlign w:val="center"/>
          </w:tcPr>
          <w:p>
            <w:pPr>
              <w:pStyle w:val="14"/>
            </w:pPr>
            <w:r>
              <w:rPr>
                <w:szCs w:val="18"/>
              </w:rPr>
              <w:t>GB/T 34396—2017</w:t>
            </w:r>
            <w:r>
              <w:rPr>
                <w:rFonts w:hint="eastAsia"/>
                <w:szCs w:val="18"/>
              </w:rPr>
              <w:t>的</w:t>
            </w:r>
            <w:r>
              <w:rPr>
                <w:szCs w:val="18"/>
              </w:rPr>
              <w:t>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pPr>
            <w:r>
              <w:rPr>
                <w:rFonts w:hint="eastAsia"/>
                <w:szCs w:val="18"/>
              </w:rPr>
              <w:t>尺寸允差（含组件）</w:t>
            </w:r>
          </w:p>
        </w:tc>
        <w:tc>
          <w:tcPr>
            <w:tcW w:w="1334" w:type="dxa"/>
            <w:vMerge w:val="continue"/>
            <w:shd w:val="clear" w:color="auto" w:fill="auto"/>
            <w:vAlign w:val="center"/>
          </w:tcPr>
          <w:p>
            <w:pPr>
              <w:pStyle w:val="14"/>
            </w:pPr>
          </w:p>
        </w:tc>
        <w:tc>
          <w:tcPr>
            <w:tcW w:w="3999" w:type="dxa"/>
            <w:gridSpan w:val="3"/>
            <w:shd w:val="clear" w:color="auto" w:fill="auto"/>
            <w:vAlign w:val="center"/>
          </w:tcPr>
          <w:p>
            <w:pPr>
              <w:pStyle w:val="14"/>
            </w:pPr>
            <w:r>
              <w:rPr>
                <w:rFonts w:hint="eastAsia"/>
                <w:szCs w:val="18"/>
              </w:rPr>
              <w:t>应符合</w:t>
            </w:r>
            <w:r>
              <w:rPr>
                <w:szCs w:val="18"/>
              </w:rPr>
              <w:t>GB/T 34396—2017</w:t>
            </w:r>
            <w:r>
              <w:rPr>
                <w:rFonts w:hint="eastAsia"/>
                <w:szCs w:val="18"/>
              </w:rPr>
              <w:t>的</w:t>
            </w:r>
            <w:r>
              <w:rPr>
                <w:szCs w:val="18"/>
              </w:rPr>
              <w:t>5.15表1、5.3表2</w:t>
            </w:r>
          </w:p>
        </w:tc>
        <w:tc>
          <w:tcPr>
            <w:tcW w:w="1333" w:type="dxa"/>
            <w:shd w:val="clear" w:color="auto" w:fill="auto"/>
            <w:vAlign w:val="center"/>
          </w:tcPr>
          <w:p>
            <w:pPr>
              <w:pStyle w:val="14"/>
            </w:pPr>
            <w:r>
              <w:rPr>
                <w:szCs w:val="18"/>
              </w:rPr>
              <w:t>GB/T 34396—2017</w:t>
            </w:r>
            <w:r>
              <w:rPr>
                <w:rFonts w:hint="eastAsia"/>
                <w:szCs w:val="18"/>
              </w:rPr>
              <w:t>的</w:t>
            </w:r>
            <w:r>
              <w:rPr>
                <w:szCs w:val="18"/>
              </w:rPr>
              <w:t>5.1.5表1、5.3表2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pPr>
            <w:r>
              <w:rPr>
                <w:rFonts w:hint="eastAsia"/>
                <w:szCs w:val="18"/>
              </w:rPr>
              <w:t>维修原则</w:t>
            </w:r>
          </w:p>
        </w:tc>
        <w:tc>
          <w:tcPr>
            <w:tcW w:w="1334" w:type="dxa"/>
            <w:vMerge w:val="continue"/>
            <w:shd w:val="clear" w:color="auto" w:fill="auto"/>
            <w:vAlign w:val="center"/>
          </w:tcPr>
          <w:p>
            <w:pPr>
              <w:pStyle w:val="14"/>
            </w:pPr>
          </w:p>
        </w:tc>
        <w:tc>
          <w:tcPr>
            <w:tcW w:w="3999" w:type="dxa"/>
            <w:gridSpan w:val="3"/>
            <w:shd w:val="clear" w:color="auto" w:fill="auto"/>
            <w:vAlign w:val="center"/>
          </w:tcPr>
          <w:p>
            <w:pPr>
              <w:pStyle w:val="14"/>
            </w:pPr>
            <w:r>
              <w:rPr>
                <w:szCs w:val="18"/>
              </w:rPr>
              <w:t>托盘共用系统托盘存在GB/T 34396—2017</w:t>
            </w:r>
            <w:r>
              <w:rPr>
                <w:rFonts w:hint="eastAsia"/>
                <w:szCs w:val="18"/>
              </w:rPr>
              <w:t>的</w:t>
            </w:r>
            <w:r>
              <w:rPr>
                <w:szCs w:val="18"/>
              </w:rPr>
              <w:t>4所列缺陷或破损时，</w:t>
            </w:r>
            <w:r>
              <w:rPr>
                <w:rFonts w:hint="eastAsia"/>
                <w:szCs w:val="18"/>
              </w:rPr>
              <w:t>应符合</w:t>
            </w:r>
            <w:r>
              <w:rPr>
                <w:szCs w:val="18"/>
              </w:rPr>
              <w:t>附录A中规定的方式进行维修</w:t>
            </w:r>
          </w:p>
        </w:tc>
        <w:tc>
          <w:tcPr>
            <w:tcW w:w="1333" w:type="dxa"/>
            <w:shd w:val="clear" w:color="auto" w:fill="auto"/>
            <w:vAlign w:val="center"/>
          </w:tcPr>
          <w:p>
            <w:pPr>
              <w:pStyle w:val="14"/>
            </w:pPr>
            <w:r>
              <w:rPr>
                <w:szCs w:val="18"/>
              </w:rPr>
              <w:t>GB/T 34396—2017</w:t>
            </w:r>
            <w:r>
              <w:rPr>
                <w:rFonts w:hint="eastAsia"/>
                <w:szCs w:val="18"/>
              </w:rPr>
              <w:t>的</w:t>
            </w:r>
            <w:r>
              <w:rPr>
                <w:szCs w:val="18"/>
              </w:rPr>
              <w:t>5.1.1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pPr>
            <w:r>
              <w:rPr>
                <w:rFonts w:hint="eastAsia"/>
                <w:szCs w:val="18"/>
              </w:rPr>
              <w:t>维修标识</w:t>
            </w:r>
          </w:p>
        </w:tc>
        <w:tc>
          <w:tcPr>
            <w:tcW w:w="1334" w:type="dxa"/>
            <w:vMerge w:val="continue"/>
            <w:shd w:val="clear" w:color="auto" w:fill="auto"/>
            <w:vAlign w:val="center"/>
          </w:tcPr>
          <w:p>
            <w:pPr>
              <w:pStyle w:val="14"/>
            </w:pPr>
          </w:p>
        </w:tc>
        <w:tc>
          <w:tcPr>
            <w:tcW w:w="3999" w:type="dxa"/>
            <w:gridSpan w:val="3"/>
            <w:shd w:val="clear" w:color="auto" w:fill="auto"/>
            <w:vAlign w:val="center"/>
          </w:tcPr>
          <w:p>
            <w:pPr>
              <w:pStyle w:val="14"/>
            </w:pPr>
            <w:r>
              <w:rPr>
                <w:szCs w:val="18"/>
              </w:rPr>
              <w:t>经过维修的托盘应进行标识。</w:t>
            </w:r>
            <w:r>
              <w:rPr>
                <w:rFonts w:hint="eastAsia"/>
                <w:szCs w:val="18"/>
              </w:rPr>
              <w:t>应</w:t>
            </w:r>
            <w:r>
              <w:rPr>
                <w:szCs w:val="18"/>
              </w:rPr>
              <w:t>采用标志、标识钉或其他标示用紧固件等方式进行识别</w:t>
            </w:r>
          </w:p>
        </w:tc>
        <w:tc>
          <w:tcPr>
            <w:tcW w:w="1333" w:type="dxa"/>
            <w:shd w:val="clear" w:color="auto" w:fill="auto"/>
            <w:vAlign w:val="center"/>
          </w:tcPr>
          <w:p>
            <w:pPr>
              <w:pStyle w:val="14"/>
            </w:pPr>
            <w:r>
              <w:rPr>
                <w:szCs w:val="18"/>
              </w:rPr>
              <w:t>GB/T 34396—2017</w:t>
            </w:r>
            <w:r>
              <w:rPr>
                <w:rFonts w:hint="eastAsia"/>
                <w:szCs w:val="18"/>
              </w:rPr>
              <w:t>的第</w:t>
            </w:r>
            <w:r>
              <w:rPr>
                <w:szCs w:val="18"/>
              </w:rPr>
              <w:t>6</w:t>
            </w:r>
            <w:r>
              <w:rPr>
                <w:rFonts w:hint="eastAsia"/>
                <w:szCs w:val="18"/>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pPr>
            <w:r>
              <w:rPr>
                <w:rFonts w:hint="eastAsia"/>
                <w:szCs w:val="18"/>
              </w:rPr>
              <w:t>维修检验</w:t>
            </w:r>
          </w:p>
        </w:tc>
        <w:tc>
          <w:tcPr>
            <w:tcW w:w="1334" w:type="dxa"/>
            <w:vMerge w:val="continue"/>
            <w:shd w:val="clear" w:color="auto" w:fill="auto"/>
            <w:vAlign w:val="center"/>
          </w:tcPr>
          <w:p>
            <w:pPr>
              <w:pStyle w:val="14"/>
            </w:pPr>
          </w:p>
        </w:tc>
        <w:tc>
          <w:tcPr>
            <w:tcW w:w="3999" w:type="dxa"/>
            <w:gridSpan w:val="3"/>
            <w:shd w:val="clear" w:color="auto" w:fill="auto"/>
            <w:vAlign w:val="center"/>
          </w:tcPr>
          <w:p>
            <w:pPr>
              <w:pStyle w:val="14"/>
            </w:pPr>
            <w:r>
              <w:rPr>
                <w:szCs w:val="18"/>
              </w:rPr>
              <w:t>托盘共用系统托盘经过维修后，托盘尺寸允差应符合GB/T 34396—2017</w:t>
            </w:r>
            <w:r>
              <w:rPr>
                <w:rFonts w:hint="eastAsia"/>
                <w:szCs w:val="18"/>
              </w:rPr>
              <w:t>的</w:t>
            </w:r>
            <w:r>
              <w:rPr>
                <w:szCs w:val="18"/>
              </w:rPr>
              <w:t>5.15表1规定，连接处托盘钉应连接牢固</w:t>
            </w:r>
          </w:p>
        </w:tc>
        <w:tc>
          <w:tcPr>
            <w:tcW w:w="1333" w:type="dxa"/>
            <w:shd w:val="clear" w:color="auto" w:fill="auto"/>
            <w:vAlign w:val="center"/>
          </w:tcPr>
          <w:p>
            <w:pPr>
              <w:pStyle w:val="14"/>
            </w:pPr>
            <w:r>
              <w:rPr>
                <w:szCs w:val="18"/>
              </w:rPr>
              <w:t>GB/T 34396—2017</w:t>
            </w:r>
            <w:r>
              <w:rPr>
                <w:rFonts w:hint="eastAsia"/>
                <w:szCs w:val="18"/>
              </w:rPr>
              <w:t>的第7章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pPr>
            <w:r>
              <w:rPr>
                <w:rFonts w:hint="eastAsia"/>
                <w:szCs w:val="18"/>
              </w:rPr>
              <w:t>回收处理</w:t>
            </w:r>
          </w:p>
        </w:tc>
        <w:tc>
          <w:tcPr>
            <w:tcW w:w="1334" w:type="dxa"/>
            <w:vMerge w:val="continue"/>
            <w:shd w:val="clear" w:color="auto" w:fill="auto"/>
            <w:vAlign w:val="center"/>
          </w:tcPr>
          <w:p>
            <w:pPr>
              <w:pStyle w:val="14"/>
            </w:pPr>
          </w:p>
        </w:tc>
        <w:tc>
          <w:tcPr>
            <w:tcW w:w="3999" w:type="dxa"/>
            <w:gridSpan w:val="3"/>
            <w:shd w:val="clear" w:color="auto" w:fill="auto"/>
            <w:vAlign w:val="center"/>
          </w:tcPr>
          <w:p>
            <w:pPr>
              <w:pStyle w:val="14"/>
            </w:pPr>
            <w:r>
              <w:rPr>
                <w:szCs w:val="18"/>
              </w:rPr>
              <w:t>托盘整体状态较差，无法通过维修打到托盘共用系统使用要求的托盘应予以回收处理</w:t>
            </w:r>
          </w:p>
        </w:tc>
        <w:tc>
          <w:tcPr>
            <w:tcW w:w="1333" w:type="dxa"/>
            <w:shd w:val="clear" w:color="auto" w:fill="auto"/>
            <w:vAlign w:val="center"/>
          </w:tcPr>
          <w:p>
            <w:pPr>
              <w:pStyle w:val="14"/>
            </w:pPr>
            <w:r>
              <w:rPr>
                <w:szCs w:val="18"/>
              </w:rPr>
              <w:t>GB/T 34396—2017</w:t>
            </w:r>
            <w:r>
              <w:rPr>
                <w:rFonts w:hint="eastAsia"/>
                <w:szCs w:val="18"/>
              </w:rPr>
              <w:t>的第8章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restart"/>
            <w:shd w:val="clear" w:color="auto" w:fill="auto"/>
            <w:vAlign w:val="center"/>
          </w:tcPr>
          <w:p>
            <w:pPr>
              <w:pStyle w:val="14"/>
            </w:pPr>
            <w:r>
              <w:rPr>
                <w:b/>
                <w:szCs w:val="18"/>
              </w:rPr>
              <w:t>核心指标</w:t>
            </w:r>
          </w:p>
        </w:tc>
        <w:tc>
          <w:tcPr>
            <w:tcW w:w="1334" w:type="dxa"/>
            <w:shd w:val="clear" w:color="auto" w:fill="auto"/>
            <w:vAlign w:val="center"/>
          </w:tcPr>
          <w:p>
            <w:pPr>
              <w:pStyle w:val="14"/>
              <w:rPr>
                <w:szCs w:val="18"/>
              </w:rPr>
            </w:pPr>
            <w:r>
              <w:rPr>
                <w:rFonts w:hint="eastAsia"/>
                <w:szCs w:val="18"/>
              </w:rPr>
              <w:t>托盘池数量</w:t>
            </w:r>
            <w:r>
              <w:rPr>
                <w:szCs w:val="18"/>
                <w:vertAlign w:val="superscript"/>
              </w:rPr>
              <w:t>a</w:t>
            </w:r>
          </w:p>
          <w:p>
            <w:pPr>
              <w:pStyle w:val="14"/>
            </w:pPr>
            <w:r>
              <w:rPr>
                <w:rFonts w:hint="eastAsia"/>
                <w:szCs w:val="18"/>
              </w:rPr>
              <w:t>（万片）</w:t>
            </w:r>
          </w:p>
        </w:tc>
        <w:tc>
          <w:tcPr>
            <w:tcW w:w="1334" w:type="dxa"/>
            <w:vMerge w:val="restart"/>
            <w:shd w:val="clear" w:color="auto" w:fill="auto"/>
            <w:vAlign w:val="center"/>
          </w:tcPr>
          <w:p>
            <w:pPr>
              <w:pStyle w:val="14"/>
            </w:pPr>
            <w:r>
              <w:rPr>
                <w:rFonts w:hint="eastAsia"/>
              </w:rPr>
              <w:t>—</w:t>
            </w:r>
          </w:p>
        </w:tc>
        <w:tc>
          <w:tcPr>
            <w:tcW w:w="1333" w:type="dxa"/>
            <w:shd w:val="clear" w:color="auto" w:fill="auto"/>
            <w:vAlign w:val="center"/>
          </w:tcPr>
          <w:p>
            <w:pPr>
              <w:pStyle w:val="14"/>
              <w:rPr>
                <w:szCs w:val="18"/>
              </w:rPr>
            </w:pPr>
            <w:r>
              <w:rPr>
                <w:rFonts w:hint="eastAsia"/>
                <w:szCs w:val="18"/>
              </w:rPr>
              <w:t>≥</w:t>
            </w:r>
            <w:r>
              <w:rPr>
                <w:szCs w:val="18"/>
              </w:rPr>
              <w:t>100</w:t>
            </w:r>
          </w:p>
        </w:tc>
        <w:tc>
          <w:tcPr>
            <w:tcW w:w="1333" w:type="dxa"/>
            <w:shd w:val="clear" w:color="auto" w:fill="auto"/>
            <w:vAlign w:val="center"/>
          </w:tcPr>
          <w:p>
            <w:pPr>
              <w:pStyle w:val="14"/>
              <w:rPr>
                <w:szCs w:val="18"/>
              </w:rPr>
            </w:pPr>
            <w:r>
              <w:rPr>
                <w:szCs w:val="18"/>
              </w:rPr>
              <w:t>50-99</w:t>
            </w:r>
          </w:p>
        </w:tc>
        <w:tc>
          <w:tcPr>
            <w:tcW w:w="1333" w:type="dxa"/>
            <w:shd w:val="clear" w:color="auto" w:fill="auto"/>
            <w:vAlign w:val="center"/>
          </w:tcPr>
          <w:p>
            <w:pPr>
              <w:pStyle w:val="14"/>
              <w:rPr>
                <w:szCs w:val="18"/>
              </w:rPr>
            </w:pPr>
            <w:r>
              <w:rPr>
                <w:szCs w:val="18"/>
              </w:rPr>
              <w:t>20-49</w:t>
            </w:r>
          </w:p>
        </w:tc>
        <w:tc>
          <w:tcPr>
            <w:tcW w:w="1333" w:type="dxa"/>
            <w:vMerge w:val="restart"/>
            <w:shd w:val="clear" w:color="auto" w:fill="auto"/>
            <w:vAlign w:val="center"/>
          </w:tcPr>
          <w:p>
            <w:pPr>
              <w:pStyle w:val="14"/>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rPr>
                <w:szCs w:val="18"/>
              </w:rPr>
            </w:pPr>
            <w:r>
              <w:rPr>
                <w:rFonts w:hint="eastAsia"/>
                <w:szCs w:val="18"/>
              </w:rPr>
              <w:t>年在租量</w:t>
            </w:r>
          </w:p>
          <w:p>
            <w:pPr>
              <w:pStyle w:val="14"/>
              <w:rPr>
                <w:szCs w:val="18"/>
              </w:rPr>
            </w:pPr>
            <w:r>
              <w:rPr>
                <w:rFonts w:hint="eastAsia"/>
                <w:szCs w:val="18"/>
              </w:rPr>
              <w:t>（万片）</w:t>
            </w:r>
          </w:p>
        </w:tc>
        <w:tc>
          <w:tcPr>
            <w:tcW w:w="1334" w:type="dxa"/>
            <w:vMerge w:val="continue"/>
            <w:shd w:val="clear" w:color="auto" w:fill="auto"/>
            <w:vAlign w:val="center"/>
          </w:tcPr>
          <w:p>
            <w:pPr>
              <w:pStyle w:val="14"/>
            </w:pPr>
          </w:p>
        </w:tc>
        <w:tc>
          <w:tcPr>
            <w:tcW w:w="1333" w:type="dxa"/>
            <w:shd w:val="clear" w:color="auto" w:fill="auto"/>
            <w:vAlign w:val="center"/>
          </w:tcPr>
          <w:p>
            <w:pPr>
              <w:pStyle w:val="14"/>
              <w:rPr>
                <w:szCs w:val="18"/>
              </w:rPr>
            </w:pPr>
            <w:r>
              <w:rPr>
                <w:rFonts w:hint="eastAsia"/>
                <w:szCs w:val="18"/>
              </w:rPr>
              <w:t>≥</w:t>
            </w:r>
            <w:r>
              <w:rPr>
                <w:szCs w:val="18"/>
              </w:rPr>
              <w:t>100</w:t>
            </w:r>
          </w:p>
        </w:tc>
        <w:tc>
          <w:tcPr>
            <w:tcW w:w="1333" w:type="dxa"/>
            <w:shd w:val="clear" w:color="auto" w:fill="auto"/>
            <w:vAlign w:val="center"/>
          </w:tcPr>
          <w:p>
            <w:pPr>
              <w:pStyle w:val="14"/>
              <w:rPr>
                <w:szCs w:val="18"/>
              </w:rPr>
            </w:pPr>
            <w:r>
              <w:rPr>
                <w:szCs w:val="18"/>
              </w:rPr>
              <w:t>50-99</w:t>
            </w:r>
          </w:p>
        </w:tc>
        <w:tc>
          <w:tcPr>
            <w:tcW w:w="1333" w:type="dxa"/>
            <w:shd w:val="clear" w:color="auto" w:fill="auto"/>
            <w:vAlign w:val="center"/>
          </w:tcPr>
          <w:p>
            <w:pPr>
              <w:pStyle w:val="14"/>
              <w:rPr>
                <w:szCs w:val="18"/>
              </w:rPr>
            </w:pPr>
            <w:r>
              <w:rPr>
                <w:szCs w:val="18"/>
              </w:rPr>
              <w:t>20-49</w:t>
            </w:r>
          </w:p>
        </w:tc>
        <w:tc>
          <w:tcPr>
            <w:tcW w:w="1333"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rPr>
                <w:szCs w:val="18"/>
              </w:rPr>
            </w:pPr>
            <w:r>
              <w:rPr>
                <w:rFonts w:hint="eastAsia"/>
                <w:szCs w:val="18"/>
              </w:rPr>
              <w:t>年维修数量</w:t>
            </w:r>
          </w:p>
          <w:p>
            <w:pPr>
              <w:pStyle w:val="14"/>
              <w:rPr>
                <w:szCs w:val="18"/>
              </w:rPr>
            </w:pPr>
            <w:r>
              <w:rPr>
                <w:rFonts w:hint="eastAsia"/>
                <w:szCs w:val="18"/>
              </w:rPr>
              <w:t>（万片）</w:t>
            </w:r>
          </w:p>
        </w:tc>
        <w:tc>
          <w:tcPr>
            <w:tcW w:w="1334" w:type="dxa"/>
            <w:vMerge w:val="continue"/>
            <w:shd w:val="clear" w:color="auto" w:fill="auto"/>
            <w:vAlign w:val="center"/>
          </w:tcPr>
          <w:p>
            <w:pPr>
              <w:pStyle w:val="14"/>
            </w:pPr>
          </w:p>
        </w:tc>
        <w:tc>
          <w:tcPr>
            <w:tcW w:w="1333" w:type="dxa"/>
            <w:shd w:val="clear" w:color="auto" w:fill="auto"/>
            <w:vAlign w:val="center"/>
          </w:tcPr>
          <w:p>
            <w:pPr>
              <w:pStyle w:val="14"/>
              <w:rPr>
                <w:szCs w:val="18"/>
              </w:rPr>
            </w:pPr>
            <w:r>
              <w:rPr>
                <w:rFonts w:hint="eastAsia"/>
                <w:szCs w:val="18"/>
              </w:rPr>
              <w:t>≥</w:t>
            </w:r>
            <w:r>
              <w:rPr>
                <w:szCs w:val="18"/>
              </w:rPr>
              <w:t>20</w:t>
            </w:r>
          </w:p>
        </w:tc>
        <w:tc>
          <w:tcPr>
            <w:tcW w:w="1333" w:type="dxa"/>
            <w:shd w:val="clear" w:color="auto" w:fill="auto"/>
            <w:vAlign w:val="center"/>
          </w:tcPr>
          <w:p>
            <w:pPr>
              <w:pStyle w:val="14"/>
              <w:rPr>
                <w:szCs w:val="18"/>
              </w:rPr>
            </w:pPr>
            <w:r>
              <w:rPr>
                <w:szCs w:val="18"/>
              </w:rPr>
              <w:t>10-19</w:t>
            </w:r>
          </w:p>
        </w:tc>
        <w:tc>
          <w:tcPr>
            <w:tcW w:w="1333" w:type="dxa"/>
            <w:shd w:val="clear" w:color="auto" w:fill="auto"/>
            <w:vAlign w:val="center"/>
          </w:tcPr>
          <w:p>
            <w:pPr>
              <w:pStyle w:val="14"/>
              <w:rPr>
                <w:szCs w:val="18"/>
              </w:rPr>
            </w:pPr>
            <w:r>
              <w:rPr>
                <w:rFonts w:hint="eastAsia"/>
                <w:szCs w:val="18"/>
              </w:rPr>
              <w:t>＜</w:t>
            </w:r>
            <w:r>
              <w:rPr>
                <w:szCs w:val="18"/>
              </w:rPr>
              <w:t>10</w:t>
            </w:r>
          </w:p>
        </w:tc>
        <w:tc>
          <w:tcPr>
            <w:tcW w:w="1333"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rPr>
                <w:szCs w:val="18"/>
              </w:rPr>
            </w:pPr>
            <w:r>
              <w:rPr>
                <w:rFonts w:hint="eastAsia"/>
                <w:szCs w:val="18"/>
              </w:rPr>
              <w:t>客户投诉率</w:t>
            </w:r>
            <w:r>
              <w:rPr>
                <w:szCs w:val="18"/>
                <w:vertAlign w:val="superscript"/>
              </w:rPr>
              <w:t>b</w:t>
            </w:r>
          </w:p>
          <w:p>
            <w:pPr>
              <w:pStyle w:val="14"/>
              <w:rPr>
                <w:szCs w:val="18"/>
              </w:rPr>
            </w:pPr>
            <w:r>
              <w:rPr>
                <w:rFonts w:hint="eastAsia"/>
                <w:szCs w:val="18"/>
              </w:rPr>
              <w:t>（％）</w:t>
            </w:r>
          </w:p>
        </w:tc>
        <w:tc>
          <w:tcPr>
            <w:tcW w:w="1334" w:type="dxa"/>
            <w:vMerge w:val="continue"/>
            <w:shd w:val="clear" w:color="auto" w:fill="auto"/>
            <w:vAlign w:val="center"/>
          </w:tcPr>
          <w:p>
            <w:pPr>
              <w:pStyle w:val="14"/>
            </w:pPr>
          </w:p>
        </w:tc>
        <w:tc>
          <w:tcPr>
            <w:tcW w:w="1333" w:type="dxa"/>
            <w:shd w:val="clear" w:color="auto" w:fill="auto"/>
            <w:vAlign w:val="center"/>
          </w:tcPr>
          <w:p>
            <w:pPr>
              <w:pStyle w:val="14"/>
              <w:rPr>
                <w:szCs w:val="18"/>
              </w:rPr>
            </w:pPr>
            <w:r>
              <w:rPr>
                <w:rFonts w:hint="eastAsia"/>
                <w:szCs w:val="18"/>
              </w:rPr>
              <w:t>≤0.05</w:t>
            </w:r>
          </w:p>
        </w:tc>
        <w:tc>
          <w:tcPr>
            <w:tcW w:w="1333" w:type="dxa"/>
            <w:shd w:val="clear" w:color="auto" w:fill="auto"/>
            <w:vAlign w:val="center"/>
          </w:tcPr>
          <w:p>
            <w:pPr>
              <w:pStyle w:val="14"/>
              <w:rPr>
                <w:szCs w:val="18"/>
              </w:rPr>
            </w:pPr>
            <w:r>
              <w:rPr>
                <w:rFonts w:hint="eastAsia"/>
                <w:szCs w:val="18"/>
              </w:rPr>
              <w:t>≤0.1</w:t>
            </w:r>
          </w:p>
        </w:tc>
        <w:tc>
          <w:tcPr>
            <w:tcW w:w="1333" w:type="dxa"/>
            <w:shd w:val="clear" w:color="auto" w:fill="auto"/>
            <w:vAlign w:val="center"/>
          </w:tcPr>
          <w:p>
            <w:pPr>
              <w:pStyle w:val="14"/>
              <w:rPr>
                <w:szCs w:val="18"/>
              </w:rPr>
            </w:pPr>
            <w:r>
              <w:rPr>
                <w:rFonts w:hint="eastAsia"/>
                <w:szCs w:val="18"/>
              </w:rPr>
              <w:t>≤0.5</w:t>
            </w:r>
          </w:p>
        </w:tc>
        <w:tc>
          <w:tcPr>
            <w:tcW w:w="1333" w:type="dxa"/>
            <w:shd w:val="clear" w:color="auto" w:fill="auto"/>
            <w:vAlign w:val="center"/>
          </w:tcPr>
          <w:p>
            <w:pPr>
              <w:pStyle w:val="14"/>
            </w:pPr>
            <w:r>
              <w:rPr>
                <w:rFonts w:hint="eastAsia"/>
              </w:rPr>
              <w:t>计算方法：</w:t>
            </w:r>
          </w:p>
          <w:p>
            <w:pPr>
              <w:pStyle w:val="14"/>
            </w:pPr>
            <w:r>
              <w:rPr>
                <w:rFonts w:hint="eastAsia"/>
              </w:rPr>
              <w:t>客户投诉率=投诉客户数÷总客户数×100%。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rPr>
                <w:szCs w:val="18"/>
              </w:rPr>
            </w:pPr>
            <w:r>
              <w:rPr>
                <w:rFonts w:hint="eastAsia"/>
                <w:szCs w:val="18"/>
              </w:rPr>
              <w:t>服务满意度</w:t>
            </w:r>
            <w:r>
              <w:rPr>
                <w:szCs w:val="18"/>
                <w:vertAlign w:val="superscript"/>
              </w:rPr>
              <w:t>c</w:t>
            </w:r>
          </w:p>
          <w:p>
            <w:pPr>
              <w:pStyle w:val="14"/>
            </w:pPr>
            <w:r>
              <w:rPr>
                <w:rFonts w:hint="eastAsia"/>
                <w:szCs w:val="18"/>
              </w:rPr>
              <w:t>（％）</w:t>
            </w:r>
          </w:p>
        </w:tc>
        <w:tc>
          <w:tcPr>
            <w:tcW w:w="1334" w:type="dxa"/>
            <w:vMerge w:val="continue"/>
            <w:shd w:val="clear" w:color="auto" w:fill="auto"/>
            <w:vAlign w:val="center"/>
          </w:tcPr>
          <w:p>
            <w:pPr>
              <w:pStyle w:val="14"/>
            </w:pPr>
          </w:p>
        </w:tc>
        <w:tc>
          <w:tcPr>
            <w:tcW w:w="1333" w:type="dxa"/>
            <w:shd w:val="clear" w:color="auto" w:fill="auto"/>
            <w:vAlign w:val="center"/>
          </w:tcPr>
          <w:p>
            <w:pPr>
              <w:pStyle w:val="14"/>
              <w:rPr>
                <w:szCs w:val="18"/>
              </w:rPr>
            </w:pPr>
            <w:r>
              <w:rPr>
                <w:rFonts w:hint="eastAsia"/>
                <w:szCs w:val="18"/>
              </w:rPr>
              <w:t>≥98</w:t>
            </w:r>
          </w:p>
        </w:tc>
        <w:tc>
          <w:tcPr>
            <w:tcW w:w="1333" w:type="dxa"/>
            <w:shd w:val="clear" w:color="auto" w:fill="auto"/>
            <w:vAlign w:val="center"/>
          </w:tcPr>
          <w:p>
            <w:pPr>
              <w:pStyle w:val="14"/>
              <w:rPr>
                <w:szCs w:val="18"/>
              </w:rPr>
            </w:pPr>
            <w:r>
              <w:rPr>
                <w:rFonts w:hint="eastAsia"/>
                <w:szCs w:val="18"/>
              </w:rPr>
              <w:t>≥95</w:t>
            </w:r>
          </w:p>
        </w:tc>
        <w:tc>
          <w:tcPr>
            <w:tcW w:w="1333" w:type="dxa"/>
            <w:shd w:val="clear" w:color="auto" w:fill="auto"/>
            <w:vAlign w:val="center"/>
          </w:tcPr>
          <w:p>
            <w:pPr>
              <w:pStyle w:val="14"/>
              <w:rPr>
                <w:szCs w:val="18"/>
              </w:rPr>
            </w:pPr>
            <w:r>
              <w:rPr>
                <w:rFonts w:hint="eastAsia"/>
                <w:szCs w:val="18"/>
              </w:rPr>
              <w:t>≥90</w:t>
            </w:r>
          </w:p>
        </w:tc>
        <w:tc>
          <w:tcPr>
            <w:tcW w:w="1333" w:type="dxa"/>
            <w:shd w:val="clear" w:color="auto" w:fill="auto"/>
            <w:vAlign w:val="center"/>
          </w:tcPr>
          <w:p>
            <w:pPr>
              <w:pStyle w:val="14"/>
            </w:pPr>
            <w:r>
              <w:rPr>
                <w:rFonts w:hint="eastAsia"/>
              </w:rPr>
              <w:t>计算方法：</w:t>
            </w:r>
          </w:p>
          <w:p>
            <w:pPr>
              <w:pStyle w:val="14"/>
            </w:pPr>
            <w:r>
              <w:rPr>
                <w:rFonts w:hint="eastAsia"/>
              </w:rPr>
              <w:t>服务满意度=满意顾客数/顾客总数×100%。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rPr>
                <w:szCs w:val="18"/>
              </w:rPr>
            </w:pPr>
            <w:r>
              <w:rPr>
                <w:rFonts w:hint="eastAsia"/>
                <w:szCs w:val="18"/>
              </w:rPr>
              <w:t>维修合格率</w:t>
            </w:r>
          </w:p>
          <w:p>
            <w:pPr>
              <w:pStyle w:val="14"/>
              <w:rPr>
                <w:szCs w:val="18"/>
              </w:rPr>
            </w:pPr>
            <w:r>
              <w:rPr>
                <w:rFonts w:hint="eastAsia"/>
                <w:szCs w:val="18"/>
              </w:rPr>
              <w:t>（％）</w:t>
            </w:r>
          </w:p>
        </w:tc>
        <w:tc>
          <w:tcPr>
            <w:tcW w:w="1334" w:type="dxa"/>
            <w:vMerge w:val="continue"/>
            <w:shd w:val="clear" w:color="auto" w:fill="auto"/>
            <w:vAlign w:val="center"/>
          </w:tcPr>
          <w:p>
            <w:pPr>
              <w:pStyle w:val="14"/>
            </w:pPr>
          </w:p>
        </w:tc>
        <w:tc>
          <w:tcPr>
            <w:tcW w:w="1333" w:type="dxa"/>
            <w:shd w:val="clear" w:color="auto" w:fill="auto"/>
            <w:vAlign w:val="center"/>
          </w:tcPr>
          <w:p>
            <w:pPr>
              <w:pStyle w:val="14"/>
              <w:rPr>
                <w:szCs w:val="18"/>
              </w:rPr>
            </w:pPr>
            <w:r>
              <w:rPr>
                <w:rFonts w:hint="eastAsia"/>
                <w:szCs w:val="18"/>
              </w:rPr>
              <w:t>≥</w:t>
            </w:r>
            <w:r>
              <w:rPr>
                <w:szCs w:val="18"/>
              </w:rPr>
              <w:t>97</w:t>
            </w:r>
          </w:p>
        </w:tc>
        <w:tc>
          <w:tcPr>
            <w:tcW w:w="1333" w:type="dxa"/>
            <w:shd w:val="clear" w:color="auto" w:fill="auto"/>
            <w:vAlign w:val="center"/>
          </w:tcPr>
          <w:p>
            <w:pPr>
              <w:pStyle w:val="14"/>
              <w:rPr>
                <w:szCs w:val="18"/>
              </w:rPr>
            </w:pPr>
            <w:r>
              <w:rPr>
                <w:szCs w:val="18"/>
              </w:rPr>
              <w:t>90-96</w:t>
            </w:r>
          </w:p>
        </w:tc>
        <w:tc>
          <w:tcPr>
            <w:tcW w:w="1333" w:type="dxa"/>
            <w:shd w:val="clear" w:color="auto" w:fill="auto"/>
            <w:vAlign w:val="center"/>
          </w:tcPr>
          <w:p>
            <w:pPr>
              <w:pStyle w:val="14"/>
              <w:rPr>
                <w:szCs w:val="18"/>
              </w:rPr>
            </w:pPr>
            <w:r>
              <w:rPr>
                <w:rFonts w:hint="eastAsia"/>
                <w:szCs w:val="18"/>
              </w:rPr>
              <w:t>＜</w:t>
            </w:r>
            <w:r>
              <w:rPr>
                <w:szCs w:val="18"/>
              </w:rPr>
              <w:t>90</w:t>
            </w:r>
          </w:p>
        </w:tc>
        <w:tc>
          <w:tcPr>
            <w:tcW w:w="1333" w:type="dxa"/>
            <w:shd w:val="clear" w:color="auto" w:fill="auto"/>
            <w:vAlign w:val="center"/>
          </w:tcPr>
          <w:p>
            <w:pPr>
              <w:pStyle w:val="14"/>
            </w:pPr>
            <w:r>
              <w:rPr>
                <w:rFonts w:hint="eastAsia"/>
              </w:rPr>
              <w:t>计算方法：</w:t>
            </w:r>
          </w:p>
          <w:p>
            <w:pPr>
              <w:pStyle w:val="14"/>
            </w:pPr>
            <w:r>
              <w:rPr>
                <w:rFonts w:hint="eastAsia"/>
              </w:rPr>
              <w:t>维修合格率=合格产品数÷产品总数×100%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rPr>
                <w:szCs w:val="18"/>
              </w:rPr>
            </w:pPr>
            <w:r>
              <w:rPr>
                <w:rFonts w:hint="eastAsia"/>
                <w:szCs w:val="18"/>
              </w:rPr>
              <w:t>维修网点</w:t>
            </w:r>
          </w:p>
          <w:p>
            <w:pPr>
              <w:pStyle w:val="14"/>
            </w:pPr>
            <w:r>
              <w:rPr>
                <w:rFonts w:hint="eastAsia"/>
                <w:szCs w:val="18"/>
              </w:rPr>
              <w:t>（个）</w:t>
            </w:r>
          </w:p>
        </w:tc>
        <w:tc>
          <w:tcPr>
            <w:tcW w:w="1334" w:type="dxa"/>
            <w:vMerge w:val="continue"/>
            <w:shd w:val="clear" w:color="auto" w:fill="auto"/>
            <w:vAlign w:val="center"/>
          </w:tcPr>
          <w:p>
            <w:pPr>
              <w:pStyle w:val="14"/>
            </w:pPr>
          </w:p>
        </w:tc>
        <w:tc>
          <w:tcPr>
            <w:tcW w:w="1333" w:type="dxa"/>
            <w:shd w:val="clear" w:color="auto" w:fill="auto"/>
            <w:vAlign w:val="center"/>
          </w:tcPr>
          <w:p>
            <w:pPr>
              <w:pStyle w:val="14"/>
              <w:rPr>
                <w:szCs w:val="18"/>
              </w:rPr>
            </w:pPr>
            <w:r>
              <w:rPr>
                <w:rFonts w:hint="eastAsia"/>
                <w:szCs w:val="18"/>
              </w:rPr>
              <w:t>≥</w:t>
            </w:r>
            <w:r>
              <w:rPr>
                <w:szCs w:val="18"/>
              </w:rPr>
              <w:t>10</w:t>
            </w:r>
          </w:p>
        </w:tc>
        <w:tc>
          <w:tcPr>
            <w:tcW w:w="1333" w:type="dxa"/>
            <w:shd w:val="clear" w:color="auto" w:fill="auto"/>
            <w:vAlign w:val="center"/>
          </w:tcPr>
          <w:p>
            <w:pPr>
              <w:pStyle w:val="14"/>
              <w:rPr>
                <w:szCs w:val="18"/>
              </w:rPr>
            </w:pPr>
            <w:r>
              <w:rPr>
                <w:szCs w:val="18"/>
              </w:rPr>
              <w:t>6-9</w:t>
            </w:r>
          </w:p>
        </w:tc>
        <w:tc>
          <w:tcPr>
            <w:tcW w:w="1333" w:type="dxa"/>
            <w:shd w:val="clear" w:color="auto" w:fill="auto"/>
            <w:vAlign w:val="center"/>
          </w:tcPr>
          <w:p>
            <w:pPr>
              <w:pStyle w:val="14"/>
              <w:rPr>
                <w:szCs w:val="18"/>
              </w:rPr>
            </w:pPr>
            <w:r>
              <w:rPr>
                <w:rFonts w:hint="eastAsia"/>
                <w:szCs w:val="18"/>
              </w:rPr>
              <w:t>≤</w:t>
            </w:r>
            <w:r>
              <w:rPr>
                <w:szCs w:val="18"/>
              </w:rPr>
              <w:t>5</w:t>
            </w:r>
          </w:p>
        </w:tc>
        <w:tc>
          <w:tcPr>
            <w:tcW w:w="1333" w:type="dxa"/>
            <w:vMerge w:val="restart"/>
            <w:shd w:val="clear" w:color="auto" w:fill="auto"/>
            <w:vAlign w:val="center"/>
          </w:tcPr>
          <w:p>
            <w:pPr>
              <w:pStyle w:val="14"/>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rPr>
                <w:szCs w:val="18"/>
              </w:rPr>
            </w:pPr>
            <w:r>
              <w:rPr>
                <w:rFonts w:hint="eastAsia"/>
                <w:szCs w:val="18"/>
              </w:rPr>
              <w:t>租赁网点</w:t>
            </w:r>
          </w:p>
          <w:p>
            <w:pPr>
              <w:pStyle w:val="14"/>
            </w:pPr>
            <w:r>
              <w:rPr>
                <w:rFonts w:hint="eastAsia"/>
                <w:szCs w:val="18"/>
              </w:rPr>
              <w:t>（个）</w:t>
            </w:r>
          </w:p>
        </w:tc>
        <w:tc>
          <w:tcPr>
            <w:tcW w:w="1334" w:type="dxa"/>
            <w:vMerge w:val="continue"/>
            <w:shd w:val="clear" w:color="auto" w:fill="auto"/>
            <w:vAlign w:val="center"/>
          </w:tcPr>
          <w:p>
            <w:pPr>
              <w:pStyle w:val="14"/>
            </w:pPr>
          </w:p>
        </w:tc>
        <w:tc>
          <w:tcPr>
            <w:tcW w:w="1333" w:type="dxa"/>
            <w:shd w:val="clear" w:color="auto" w:fill="auto"/>
            <w:vAlign w:val="center"/>
          </w:tcPr>
          <w:p>
            <w:pPr>
              <w:pStyle w:val="14"/>
              <w:rPr>
                <w:szCs w:val="18"/>
              </w:rPr>
            </w:pPr>
            <w:r>
              <w:rPr>
                <w:rFonts w:hint="eastAsia"/>
                <w:szCs w:val="18"/>
              </w:rPr>
              <w:t>≥</w:t>
            </w:r>
            <w:r>
              <w:rPr>
                <w:szCs w:val="18"/>
              </w:rPr>
              <w:t>10</w:t>
            </w:r>
          </w:p>
        </w:tc>
        <w:tc>
          <w:tcPr>
            <w:tcW w:w="1333" w:type="dxa"/>
            <w:shd w:val="clear" w:color="auto" w:fill="auto"/>
            <w:vAlign w:val="center"/>
          </w:tcPr>
          <w:p>
            <w:pPr>
              <w:pStyle w:val="14"/>
              <w:rPr>
                <w:szCs w:val="18"/>
              </w:rPr>
            </w:pPr>
            <w:r>
              <w:rPr>
                <w:szCs w:val="18"/>
              </w:rPr>
              <w:t>6-9</w:t>
            </w:r>
          </w:p>
        </w:tc>
        <w:tc>
          <w:tcPr>
            <w:tcW w:w="1333" w:type="dxa"/>
            <w:shd w:val="clear" w:color="auto" w:fill="auto"/>
            <w:vAlign w:val="center"/>
          </w:tcPr>
          <w:p>
            <w:pPr>
              <w:pStyle w:val="14"/>
              <w:rPr>
                <w:szCs w:val="18"/>
              </w:rPr>
            </w:pPr>
            <w:r>
              <w:rPr>
                <w:rFonts w:hint="eastAsia"/>
                <w:szCs w:val="18"/>
              </w:rPr>
              <w:t>≤</w:t>
            </w:r>
            <w:r>
              <w:rPr>
                <w:szCs w:val="18"/>
              </w:rPr>
              <w:t>5</w:t>
            </w:r>
          </w:p>
        </w:tc>
        <w:tc>
          <w:tcPr>
            <w:tcW w:w="1333"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restart"/>
            <w:shd w:val="clear" w:color="auto" w:fill="auto"/>
            <w:vAlign w:val="center"/>
          </w:tcPr>
          <w:p>
            <w:pPr>
              <w:pStyle w:val="14"/>
            </w:pPr>
            <w:r>
              <w:rPr>
                <w:rFonts w:hint="eastAsia"/>
                <w:b/>
                <w:szCs w:val="18"/>
              </w:rPr>
              <w:t>创新指标</w:t>
            </w:r>
          </w:p>
        </w:tc>
        <w:tc>
          <w:tcPr>
            <w:tcW w:w="1334" w:type="dxa"/>
            <w:shd w:val="clear" w:color="auto" w:fill="auto"/>
            <w:vAlign w:val="center"/>
          </w:tcPr>
          <w:p>
            <w:pPr>
              <w:pStyle w:val="14"/>
              <w:rPr>
                <w:szCs w:val="18"/>
              </w:rPr>
            </w:pPr>
            <w:r>
              <w:rPr>
                <w:rFonts w:hint="eastAsia"/>
                <w:szCs w:val="18"/>
              </w:rPr>
              <w:t>ERP管理</w:t>
            </w:r>
            <w:r>
              <w:rPr>
                <w:szCs w:val="18"/>
                <w:vertAlign w:val="superscript"/>
              </w:rPr>
              <w:t>d</w:t>
            </w:r>
          </w:p>
        </w:tc>
        <w:tc>
          <w:tcPr>
            <w:tcW w:w="1334" w:type="dxa"/>
            <w:vMerge w:val="continue"/>
            <w:shd w:val="clear" w:color="auto" w:fill="auto"/>
            <w:vAlign w:val="center"/>
          </w:tcPr>
          <w:p>
            <w:pPr>
              <w:pStyle w:val="14"/>
            </w:pPr>
          </w:p>
        </w:tc>
        <w:tc>
          <w:tcPr>
            <w:tcW w:w="1333" w:type="dxa"/>
            <w:shd w:val="clear" w:color="auto" w:fill="auto"/>
            <w:vAlign w:val="center"/>
          </w:tcPr>
          <w:p>
            <w:pPr>
              <w:pStyle w:val="14"/>
            </w:pPr>
            <w:r>
              <w:rPr>
                <w:rFonts w:hint="eastAsia"/>
              </w:rPr>
              <w:t>有</w:t>
            </w:r>
          </w:p>
        </w:tc>
        <w:tc>
          <w:tcPr>
            <w:tcW w:w="1333" w:type="dxa"/>
            <w:shd w:val="clear" w:color="auto" w:fill="auto"/>
            <w:vAlign w:val="center"/>
          </w:tcPr>
          <w:p>
            <w:pPr>
              <w:pStyle w:val="14"/>
            </w:pPr>
            <w:r>
              <w:rPr>
                <w:rFonts w:hint="eastAsia"/>
              </w:rPr>
              <w:t>有</w:t>
            </w:r>
          </w:p>
        </w:tc>
        <w:tc>
          <w:tcPr>
            <w:tcW w:w="1333" w:type="dxa"/>
            <w:shd w:val="clear" w:color="auto" w:fill="auto"/>
            <w:vAlign w:val="center"/>
          </w:tcPr>
          <w:p>
            <w:pPr>
              <w:pStyle w:val="14"/>
              <w:rPr>
                <w:color w:val="FF0000"/>
              </w:rPr>
            </w:pPr>
            <w:r>
              <w:rPr>
                <w:rFonts w:hint="eastAsia"/>
              </w:rPr>
              <w:t>—</w:t>
            </w:r>
          </w:p>
        </w:tc>
        <w:tc>
          <w:tcPr>
            <w:tcW w:w="1333"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4" w:type="dxa"/>
            <w:vMerge w:val="continue"/>
            <w:shd w:val="clear" w:color="auto" w:fill="auto"/>
            <w:vAlign w:val="center"/>
          </w:tcPr>
          <w:p>
            <w:pPr>
              <w:pStyle w:val="14"/>
            </w:pPr>
          </w:p>
        </w:tc>
        <w:tc>
          <w:tcPr>
            <w:tcW w:w="1334" w:type="dxa"/>
            <w:shd w:val="clear" w:color="auto" w:fill="auto"/>
            <w:vAlign w:val="center"/>
          </w:tcPr>
          <w:p>
            <w:pPr>
              <w:pStyle w:val="14"/>
              <w:rPr>
                <w:szCs w:val="18"/>
              </w:rPr>
            </w:pPr>
            <w:r>
              <w:rPr>
                <w:rFonts w:hint="eastAsia"/>
                <w:szCs w:val="18"/>
              </w:rPr>
              <w:t>跨境服务</w:t>
            </w:r>
          </w:p>
        </w:tc>
        <w:tc>
          <w:tcPr>
            <w:tcW w:w="1334" w:type="dxa"/>
            <w:vMerge w:val="continue"/>
            <w:shd w:val="clear" w:color="auto" w:fill="auto"/>
            <w:vAlign w:val="center"/>
          </w:tcPr>
          <w:p>
            <w:pPr>
              <w:pStyle w:val="14"/>
            </w:pPr>
          </w:p>
        </w:tc>
        <w:tc>
          <w:tcPr>
            <w:tcW w:w="1333" w:type="dxa"/>
            <w:shd w:val="clear" w:color="auto" w:fill="auto"/>
            <w:vAlign w:val="center"/>
          </w:tcPr>
          <w:p>
            <w:pPr>
              <w:pStyle w:val="14"/>
            </w:pPr>
            <w:r>
              <w:rPr>
                <w:rFonts w:hint="eastAsia"/>
              </w:rPr>
              <w:t>有</w:t>
            </w:r>
          </w:p>
        </w:tc>
        <w:tc>
          <w:tcPr>
            <w:tcW w:w="1333" w:type="dxa"/>
            <w:shd w:val="clear" w:color="auto" w:fill="auto"/>
            <w:vAlign w:val="center"/>
          </w:tcPr>
          <w:p>
            <w:pPr>
              <w:pStyle w:val="14"/>
            </w:pPr>
            <w:r>
              <w:rPr>
                <w:rFonts w:hint="eastAsia"/>
              </w:rPr>
              <w:t>有</w:t>
            </w:r>
          </w:p>
        </w:tc>
        <w:tc>
          <w:tcPr>
            <w:tcW w:w="1333" w:type="dxa"/>
            <w:shd w:val="clear" w:color="auto" w:fill="auto"/>
            <w:vAlign w:val="center"/>
          </w:tcPr>
          <w:p>
            <w:pPr>
              <w:pStyle w:val="14"/>
              <w:rPr>
                <w:color w:val="FF0000"/>
              </w:rPr>
            </w:pPr>
            <w:r>
              <w:rPr>
                <w:rFonts w:hint="eastAsia"/>
              </w:rPr>
              <w:t>—</w:t>
            </w:r>
          </w:p>
        </w:tc>
        <w:tc>
          <w:tcPr>
            <w:tcW w:w="1333"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shd w:val="clear" w:color="auto" w:fill="auto"/>
            <w:vAlign w:val="center"/>
          </w:tcPr>
          <w:p>
            <w:pPr>
              <w:pStyle w:val="15"/>
            </w:pPr>
            <w:r>
              <w:rPr>
                <w:rFonts w:hint="eastAsia"/>
              </w:rPr>
              <w:t>托盘池数量：指是在区域或全国范围保障运输包装物循环共用的网络及运营体系中托盘的数量。</w:t>
            </w:r>
          </w:p>
          <w:p>
            <w:pPr>
              <w:pStyle w:val="15"/>
            </w:pPr>
            <w:r>
              <w:t>客户投诉率</w:t>
            </w:r>
            <w:r>
              <w:rPr>
                <w:rFonts w:hint="eastAsia"/>
              </w:rPr>
              <w:t>：</w:t>
            </w:r>
            <w:r>
              <w:t>指在年度周期内客户对不满意业务的投诉总量与企业业务总量的比率。</w:t>
            </w:r>
          </w:p>
          <w:p>
            <w:pPr>
              <w:pStyle w:val="15"/>
            </w:pPr>
            <w:r>
              <w:t>服务满意度</w:t>
            </w:r>
            <w:r>
              <w:rPr>
                <w:rFonts w:hint="eastAsia"/>
              </w:rPr>
              <w:t>：</w:t>
            </w:r>
            <w:r>
              <w:t>指在年度周期内企业对客户满意情况的调查统计。</w:t>
            </w:r>
          </w:p>
          <w:p>
            <w:pPr>
              <w:pStyle w:val="15"/>
            </w:pPr>
            <w:r>
              <w:t>ERP管理</w:t>
            </w:r>
            <w:r>
              <w:rPr>
                <w:rFonts w:hint="eastAsia"/>
              </w:rPr>
              <w:t>：</w:t>
            </w:r>
            <w:r>
              <w:t>指企业资源计划系统软件，就是指创建在网络技术应用上，以专业化的监管观念，为公司管理层及职工给予管理决策运作方式的管理系统。</w:t>
            </w:r>
          </w:p>
        </w:tc>
      </w:tr>
    </w:tbl>
    <w:p>
      <w:pPr>
        <w:pStyle w:val="3"/>
        <w:rPr>
          <w:sz w:val="20"/>
        </w:rPr>
      </w:pPr>
    </w:p>
    <w:p>
      <w:pPr>
        <w:pStyle w:val="3"/>
        <w:rPr>
          <w:sz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0"/>
        <w:rPr>
          <w:rFonts w:hint="eastAsia" w:cs="宋体"/>
          <w:b w:val="0"/>
          <w:bCs w:val="0"/>
          <w:sz w:val="32"/>
          <w:szCs w:val="32"/>
          <w:lang w:val="en-US" w:eastAsia="zh-CN"/>
        </w:rPr>
      </w:pPr>
      <w:bookmarkStart w:id="10" w:name="七、其他需要说明的事项"/>
      <w:bookmarkEnd w:id="10"/>
      <w:bookmarkStart w:id="11" w:name="_Toc22051"/>
      <w:r>
        <w:rPr>
          <w:rFonts w:hint="eastAsia" w:cs="宋体"/>
          <w:b w:val="0"/>
          <w:bCs w:val="0"/>
          <w:sz w:val="32"/>
          <w:szCs w:val="32"/>
          <w:lang w:val="en-US" w:eastAsia="zh-CN"/>
        </w:rPr>
        <w:t>6、对指标的证明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cs="宋体"/>
          <w:b w:val="0"/>
          <w:bCs w:val="0"/>
          <w:sz w:val="32"/>
          <w:szCs w:val="32"/>
          <w:lang w:val="en-US" w:eastAsia="zh-CN"/>
        </w:rPr>
      </w:pPr>
      <w:r>
        <w:rPr>
          <w:rFonts w:hint="eastAsia" w:cs="宋体"/>
          <w:b w:val="0"/>
          <w:bCs w:val="0"/>
          <w:sz w:val="32"/>
          <w:szCs w:val="32"/>
          <w:lang w:val="en-US" w:eastAsia="zh-CN"/>
        </w:rPr>
        <w:t>本次调研共涉及企业62家，回收调查问卷</w:t>
      </w:r>
      <w:r>
        <w:rPr>
          <w:rFonts w:hint="eastAsia"/>
          <w:sz w:val="32"/>
          <w:szCs w:val="32"/>
          <w:highlight w:val="none"/>
          <w:lang w:val="en-US" w:eastAsia="zh-CN"/>
        </w:rPr>
        <w:t>23</w:t>
      </w:r>
      <w:r>
        <w:rPr>
          <w:rFonts w:hint="eastAsia" w:cs="宋体"/>
          <w:b w:val="0"/>
          <w:bCs w:val="0"/>
          <w:sz w:val="32"/>
          <w:szCs w:val="32"/>
          <w:lang w:val="en-US" w:eastAsia="zh-CN"/>
        </w:rPr>
        <w:t>份，统计结果如下：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sz w:val="32"/>
          <w:szCs w:val="32"/>
          <w:lang w:val="en-US" w:eastAsia="zh-CN"/>
        </w:rPr>
      </w:pPr>
      <w:r>
        <w:rPr>
          <w:rFonts w:hint="eastAsia"/>
          <w:sz w:val="32"/>
          <w:szCs w:val="32"/>
          <w:lang w:val="en-US" w:eastAsia="zh-CN"/>
        </w:rPr>
        <w:t>基础指标达标率为100%，核心指标中仅达到基准水平的为86.7%、达到平均水平的为7.1%、达到先进水平的为6.2%、满足创新指标中至少一项的为22.8%。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cs="宋体"/>
          <w:b w:val="0"/>
          <w:bCs w:val="0"/>
          <w:sz w:val="32"/>
          <w:szCs w:val="32"/>
          <w:lang w:val="en-US" w:eastAsia="zh-CN"/>
        </w:rPr>
      </w:pPr>
      <w:r>
        <w:rPr>
          <w:rFonts w:hint="eastAsia" w:cs="宋体"/>
          <w:b w:val="0"/>
          <w:bCs w:val="0"/>
          <w:sz w:val="32"/>
          <w:szCs w:val="32"/>
          <w:lang w:val="en-US" w:eastAsia="zh-CN"/>
        </w:rPr>
        <w:t>7、单项指标排行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0"/>
        <w:rPr>
          <w:rFonts w:hint="eastAsia" w:ascii="黑体" w:hAnsi="黑体" w:eastAsia="黑体" w:cs="黑体"/>
          <w:b w:val="0"/>
          <w:bCs w:val="0"/>
          <w:sz w:val="32"/>
          <w:szCs w:val="32"/>
        </w:rPr>
      </w:pPr>
      <w:r>
        <w:rPr>
          <w:rFonts w:hint="eastAsia" w:cs="宋体"/>
          <w:b w:val="0"/>
          <w:bCs w:val="0"/>
          <w:sz w:val="32"/>
          <w:szCs w:val="32"/>
          <w:lang w:val="en-US" w:eastAsia="zh-CN"/>
        </w:rPr>
        <w:t>《质量分级及“领跑者”评价要求 托盘租赁服务》不计划开展单项指标排行。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七、重大意见分歧的处理经过和依据</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rPr>
          <w:rFonts w:hint="eastAsia"/>
          <w:sz w:val="32"/>
          <w:szCs w:val="32"/>
          <w:lang w:eastAsia="zh-CN"/>
        </w:rPr>
      </w:pPr>
      <w:r>
        <w:rPr>
          <w:rFonts w:hint="eastAsia"/>
          <w:sz w:val="32"/>
          <w:szCs w:val="32"/>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ascii="黑体" w:hAnsi="黑体" w:eastAsia="黑体" w:cs="黑体"/>
          <w:b w:val="0"/>
          <w:bCs w:val="0"/>
          <w:sz w:val="32"/>
          <w:szCs w:val="32"/>
        </w:rPr>
      </w:pPr>
      <w:bookmarkStart w:id="12" w:name="_Toc24649"/>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采标情况</w:t>
      </w:r>
      <w:bookmarkEnd w:id="12"/>
    </w:p>
    <w:p>
      <w:pPr>
        <w:pStyle w:val="3"/>
        <w:numPr>
          <w:ilvl w:val="0"/>
          <w:numId w:val="0"/>
        </w:numPr>
        <w:spacing w:line="417" w:lineRule="auto"/>
        <w:ind w:right="437" w:rightChars="0" w:firstLine="640" w:firstLineChars="200"/>
        <w:jc w:val="both"/>
        <w:outlineLvl w:val="0"/>
        <w:rPr>
          <w:rFonts w:hint="eastAsia"/>
          <w:sz w:val="32"/>
          <w:szCs w:val="32"/>
          <w:lang w:eastAsia="zh-CN"/>
        </w:rPr>
      </w:pPr>
      <w:bookmarkStart w:id="13" w:name="_Toc31670"/>
      <w:r>
        <w:rPr>
          <w:rFonts w:hint="eastAsia"/>
          <w:sz w:val="32"/>
          <w:szCs w:val="32"/>
          <w:lang w:eastAsia="zh-CN"/>
        </w:rPr>
        <w:t>无</w:t>
      </w:r>
    </w:p>
    <w:p>
      <w:pPr>
        <w:pStyle w:val="3"/>
        <w:numPr>
          <w:ilvl w:val="0"/>
          <w:numId w:val="0"/>
        </w:numPr>
        <w:spacing w:line="417" w:lineRule="auto"/>
        <w:ind w:right="437" w:rightChars="0" w:firstLine="640" w:firstLineChars="200"/>
        <w:jc w:val="both"/>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与现行法律、法规和强制性国家标准</w:t>
      </w:r>
      <w:r>
        <w:rPr>
          <w:rFonts w:hint="eastAsia" w:ascii="黑体" w:hAnsi="黑体" w:eastAsia="黑体" w:cs="黑体"/>
          <w:b w:val="0"/>
          <w:bCs w:val="0"/>
          <w:sz w:val="32"/>
          <w:szCs w:val="32"/>
          <w:lang w:eastAsia="zh-CN"/>
        </w:rPr>
        <w:t>、行业标准</w:t>
      </w:r>
      <w:r>
        <w:rPr>
          <w:rFonts w:hint="eastAsia" w:ascii="黑体" w:hAnsi="黑体" w:eastAsia="黑体" w:cs="黑体"/>
          <w:b w:val="0"/>
          <w:bCs w:val="0"/>
          <w:sz w:val="32"/>
          <w:szCs w:val="32"/>
        </w:rPr>
        <w:t>的关系</w:t>
      </w:r>
      <w:bookmarkEnd w:id="1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sz w:val="32"/>
          <w:szCs w:val="32"/>
          <w:highlight w:val="none"/>
        </w:rPr>
      </w:pPr>
      <w:bookmarkStart w:id="14" w:name="_Toc20348"/>
      <w:r>
        <w:rPr>
          <w:rFonts w:hint="eastAsia"/>
          <w:sz w:val="32"/>
          <w:szCs w:val="32"/>
          <w:highlight w:val="none"/>
        </w:rPr>
        <w:t>本标准主要技术内容遵守了</w:t>
      </w:r>
      <w:r>
        <w:rPr>
          <w:sz w:val="32"/>
          <w:szCs w:val="32"/>
          <w:highlight w:val="none"/>
        </w:rPr>
        <w:t>现有的法律、法规</w:t>
      </w:r>
      <w:r>
        <w:rPr>
          <w:rFonts w:hint="eastAsia"/>
          <w:sz w:val="32"/>
          <w:szCs w:val="32"/>
          <w:highlight w:val="none"/>
        </w:rPr>
        <w:t>的规定</w:t>
      </w:r>
      <w:r>
        <w:rPr>
          <w:rFonts w:hint="eastAsia"/>
          <w:sz w:val="32"/>
          <w:szCs w:val="32"/>
          <w:highlight w:val="none"/>
          <w:lang w:eastAsia="zh-CN"/>
        </w:rPr>
        <w:t>，</w:t>
      </w:r>
      <w:r>
        <w:rPr>
          <w:sz w:val="32"/>
          <w:szCs w:val="32"/>
          <w:highlight w:val="none"/>
        </w:rPr>
        <w:t>和强制性国家标准无冲突。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十、宣贯及实施建议</w:t>
      </w:r>
      <w:bookmarkEnd w:id="1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lang w:val="en-US" w:eastAsia="zh-CN"/>
        </w:rPr>
      </w:pPr>
      <w:bookmarkStart w:id="15" w:name="_Toc9972"/>
      <w:r>
        <w:rPr>
          <w:rFonts w:hint="eastAsia"/>
          <w:sz w:val="32"/>
          <w:szCs w:val="32"/>
          <w:lang w:val="en-US" w:eastAsia="zh-CN"/>
        </w:rPr>
        <w:t>标准在实施后，建议全国物流标准化技术委员会组织有关企业开展标准宣贯，重点对标准中涉及技术参数和性能要求等内容进行宣贯。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十一、代替、废止标准的意见</w:t>
      </w:r>
      <w:bookmarkEnd w:id="1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lang w:val="en-US" w:eastAsia="zh-CN"/>
        </w:rPr>
      </w:pPr>
      <w:r>
        <w:rPr>
          <w:rFonts w:hint="eastAsia"/>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sz w:val="32"/>
          <w:szCs w:val="32"/>
        </w:rPr>
      </w:pPr>
      <w:bookmarkStart w:id="16" w:name="_Toc6493"/>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、其他应予说明的事项</w:t>
      </w:r>
      <w:bookmarkEnd w:id="16"/>
      <w:r>
        <w:rPr>
          <w:rFonts w:hint="eastAsia" w:ascii="黑体" w:hAnsi="黑体" w:eastAsia="黑体" w:cs="黑体"/>
          <w:b w:val="0"/>
          <w:bCs w:val="0"/>
          <w:sz w:val="32"/>
          <w:szCs w:val="32"/>
        </w:rPr>
        <w:t xml:space="preserve"> </w:t>
      </w:r>
    </w:p>
    <w:p>
      <w:pPr>
        <w:pStyle w:val="3"/>
        <w:spacing w:before="223" w:line="360" w:lineRule="auto"/>
        <w:ind w:firstLine="640" w:firstLineChars="200"/>
        <w:rPr>
          <w:rFonts w:hint="eastAsia"/>
          <w:sz w:val="32"/>
          <w:szCs w:val="32"/>
          <w:highlight w:val="none"/>
          <w:lang w:val="en-US" w:eastAsia="zh-CN"/>
        </w:rPr>
      </w:pPr>
      <w:r>
        <w:rPr>
          <w:rFonts w:hint="eastAsia"/>
          <w:sz w:val="32"/>
          <w:szCs w:val="32"/>
          <w:highlight w:val="none"/>
          <w:lang w:val="en-US" w:eastAsia="zh-CN"/>
        </w:rPr>
        <w:t>无</w:t>
      </w:r>
    </w:p>
    <w:p>
      <w:pPr>
        <w:pStyle w:val="3"/>
        <w:spacing w:before="223" w:line="360" w:lineRule="auto"/>
        <w:rPr>
          <w:rFonts w:hint="eastAsia"/>
          <w:sz w:val="32"/>
          <w:szCs w:val="32"/>
          <w:highlight w:val="none"/>
          <w:lang w:val="en-US" w:eastAsia="zh-CN"/>
        </w:rPr>
      </w:pPr>
    </w:p>
    <w:p>
      <w:pPr>
        <w:pStyle w:val="3"/>
        <w:spacing w:before="223" w:line="360" w:lineRule="auto"/>
        <w:rPr>
          <w:rFonts w:hint="eastAsia"/>
          <w:sz w:val="32"/>
          <w:szCs w:val="32"/>
          <w:highlight w:val="none"/>
          <w:lang w:val="en-US" w:eastAsia="zh-CN"/>
        </w:rPr>
      </w:pPr>
    </w:p>
    <w:p>
      <w:pPr>
        <w:pStyle w:val="3"/>
        <w:spacing w:before="223" w:line="360" w:lineRule="auto"/>
        <w:rPr>
          <w:rFonts w:hint="eastAsia"/>
          <w:sz w:val="32"/>
          <w:szCs w:val="32"/>
          <w:highlight w:val="none"/>
          <w:lang w:val="en-US" w:eastAsia="zh-CN"/>
        </w:rPr>
      </w:pPr>
    </w:p>
    <w:p>
      <w:pPr>
        <w:pStyle w:val="3"/>
        <w:spacing w:before="223" w:line="360" w:lineRule="auto"/>
        <w:jc w:val="right"/>
        <w:rPr>
          <w:rFonts w:hint="eastAsia"/>
          <w:sz w:val="32"/>
          <w:szCs w:val="32"/>
          <w:highlight w:val="none"/>
          <w:lang w:val="en-US" w:eastAsia="zh-CN"/>
        </w:rPr>
      </w:pPr>
      <w:r>
        <w:rPr>
          <w:rFonts w:hint="eastAsia"/>
          <w:sz w:val="32"/>
          <w:szCs w:val="32"/>
          <w:highlight w:val="none"/>
          <w:lang w:val="en-US" w:eastAsia="zh-CN"/>
        </w:rPr>
        <w:t>《质量分级及“领跑者”标准评价要求 托盘租赁服务</w:t>
      </w:r>
      <w:bookmarkStart w:id="17" w:name="_GoBack"/>
      <w:bookmarkEnd w:id="17"/>
      <w:r>
        <w:rPr>
          <w:rFonts w:hint="eastAsia"/>
          <w:sz w:val="32"/>
          <w:szCs w:val="32"/>
          <w:highlight w:val="none"/>
          <w:lang w:val="en-US" w:eastAsia="zh-CN"/>
        </w:rPr>
        <w:t>》起草组</w:t>
      </w:r>
    </w:p>
    <w:p>
      <w:pPr>
        <w:pStyle w:val="3"/>
        <w:spacing w:before="223" w:line="360" w:lineRule="auto"/>
        <w:jc w:val="center"/>
        <w:rPr>
          <w:rFonts w:hint="eastAsia"/>
          <w:sz w:val="32"/>
          <w:szCs w:val="32"/>
          <w:highlight w:val="none"/>
          <w:lang w:val="en-US" w:eastAsia="zh-CN"/>
        </w:rPr>
      </w:pPr>
      <w:r>
        <w:rPr>
          <w:rFonts w:hint="eastAsia"/>
          <w:sz w:val="32"/>
          <w:szCs w:val="32"/>
          <w:highlight w:val="none"/>
          <w:lang w:val="en-US" w:eastAsia="zh-CN"/>
        </w:rPr>
        <w:t xml:space="preserve">           2022年7月11日</w:t>
      </w:r>
    </w:p>
    <w:p>
      <w:pPr>
        <w:pStyle w:val="3"/>
        <w:spacing w:before="223" w:line="360" w:lineRule="auto"/>
        <w:rPr>
          <w:rFonts w:hint="eastAsia" w:ascii="黑体" w:hAnsi="黑体" w:eastAsia="黑体" w:cs="黑体"/>
          <w:sz w:val="32"/>
          <w:szCs w:val="32"/>
          <w:highlight w:val="none"/>
          <w:lang w:val="en-US" w:eastAsia="zh-CN"/>
        </w:rPr>
      </w:pPr>
    </w:p>
    <w:p>
      <w:pPr>
        <w:pStyle w:val="3"/>
        <w:spacing w:before="223" w:line="360" w:lineRule="auto"/>
        <w:rPr>
          <w:rFonts w:hint="eastAsia" w:ascii="黑体" w:hAnsi="黑体" w:eastAsia="黑体" w:cs="黑体"/>
          <w:sz w:val="32"/>
          <w:szCs w:val="32"/>
          <w:highlight w:val="none"/>
          <w:lang w:val="en-US" w:eastAsia="zh-CN"/>
        </w:rPr>
      </w:pPr>
    </w:p>
    <w:p>
      <w:pPr>
        <w:pStyle w:val="3"/>
        <w:spacing w:before="223" w:line="360" w:lineRule="auto"/>
        <w:rPr>
          <w:rFonts w:hint="eastAsia" w:ascii="黑体" w:hAnsi="黑体" w:eastAsia="黑体" w:cs="黑体"/>
          <w:sz w:val="32"/>
          <w:szCs w:val="32"/>
          <w:highlight w:val="none"/>
          <w:lang w:val="en-US" w:eastAsia="zh-CN"/>
        </w:rPr>
      </w:pPr>
    </w:p>
    <w:p>
      <w:pPr>
        <w:pStyle w:val="3"/>
        <w:spacing w:before="223" w:line="360" w:lineRule="auto"/>
        <w:rPr>
          <w:rFonts w:hint="eastAsia" w:ascii="黑体" w:hAnsi="黑体" w:eastAsia="黑体" w:cs="黑体"/>
          <w:sz w:val="32"/>
          <w:szCs w:val="32"/>
          <w:highlight w:val="none"/>
          <w:lang w:val="en-US" w:eastAsia="zh-CN"/>
        </w:rPr>
      </w:pPr>
    </w:p>
    <w:p>
      <w:pPr>
        <w:pStyle w:val="3"/>
        <w:spacing w:before="223" w:line="360" w:lineRule="auto"/>
        <w:rPr>
          <w:rFonts w:hint="eastAsia" w:ascii="黑体" w:hAnsi="黑体" w:eastAsia="黑体" w:cs="黑体"/>
          <w:sz w:val="32"/>
          <w:szCs w:val="32"/>
          <w:highlight w:val="none"/>
          <w:lang w:val="en-US" w:eastAsia="zh-CN"/>
        </w:rPr>
      </w:pPr>
    </w:p>
    <w:p>
      <w:pPr>
        <w:pStyle w:val="3"/>
        <w:spacing w:before="223" w:line="360" w:lineRule="auto"/>
        <w:rPr>
          <w:rFonts w:hint="eastAsia" w:ascii="黑体" w:hAnsi="黑体" w:eastAsia="黑体" w:cs="黑体"/>
          <w:sz w:val="32"/>
          <w:szCs w:val="32"/>
          <w:highlight w:val="none"/>
          <w:lang w:val="en-US" w:eastAsia="zh-CN"/>
        </w:rPr>
      </w:pPr>
    </w:p>
    <w:p>
      <w:pPr>
        <w:pStyle w:val="3"/>
        <w:spacing w:before="223"/>
        <w:rPr>
          <w:sz w:val="28"/>
          <w:szCs w:val="28"/>
          <w:highlight w:val="none"/>
        </w:rPr>
      </w:pPr>
    </w:p>
    <w:sectPr>
      <w:footerReference r:id="rId7" w:type="default"/>
      <w:pgSz w:w="11910" w:h="16840"/>
      <w:pgMar w:top="1420" w:right="1360" w:bottom="1360" w:left="1360" w:header="0" w:footer="11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3737610</wp:posOffset>
              </wp:positionH>
              <wp:positionV relativeFrom="page">
                <wp:posOffset>9756775</wp:posOffset>
              </wp:positionV>
              <wp:extent cx="85725" cy="14478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85725" cy="144780"/>
                      </a:xfrm>
                      <a:prstGeom prst="rect">
                        <a:avLst/>
                      </a:prstGeom>
                      <a:noFill/>
                      <a:ln>
                        <a:noFill/>
                      </a:ln>
                    </wps:spPr>
                    <wps:txbx>
                      <w:txbxContent>
                        <w:p>
                          <w:pPr>
                            <w:spacing w:before="0" w:line="228" w:lineRule="exact"/>
                            <w:ind w:left="20" w:right="0" w:firstLine="0"/>
                            <w:jc w:val="left"/>
                            <w:rPr>
                              <w:rFonts w:ascii="等线"/>
                              <w:sz w:val="18"/>
                            </w:rPr>
                          </w:pPr>
                          <w:r>
                            <w:rPr>
                              <w:rFonts w:ascii="等线"/>
                              <w:sz w:val="18"/>
                            </w:rPr>
                            <w:t>1</w:t>
                          </w:r>
                        </w:p>
                      </w:txbxContent>
                    </wps:txbx>
                    <wps:bodyPr lIns="0" tIns="0" rIns="0" bIns="0" upright="1"/>
                  </wps:wsp>
                </a:graphicData>
              </a:graphic>
            </wp:anchor>
          </w:drawing>
        </mc:Choice>
        <mc:Fallback>
          <w:pict>
            <v:shape id="文本框 1025" o:spid="_x0000_s1026" o:spt="202" type="#_x0000_t202" style="position:absolute;left:0pt;margin-left:294.3pt;margin-top:768.25pt;height:11.4pt;width:6.75pt;mso-position-horizontal-relative:page;mso-position-vertical-relative:page;z-index:-251657216;mso-width-relative:page;mso-height-relative:page;" filled="f" stroked="f" coordsize="21600,21600" o:gfxdata="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U54s2wAAAA0BAAAPAAAAAAAAAAEAIAAAACIAAABkcnMvZG93bnJldi54bWxQ&#10;SwECFAAUAAAACACHTuJA8VTGSbsBAABzAwAADgAAAAAAAAABACAAAAAqAQAAZHJzL2Uyb0RvYy54&#10;bWxQSwUGAAAAAAYABgBZAQAAVwUAAAAA&#10;">
              <v:fill on="f" focussize="0,0"/>
              <v:stroke on="f"/>
              <v:imagedata o:title=""/>
              <o:lock v:ext="edit" aspectratio="f"/>
              <v:textbox inset="0mm,0mm,0mm,0mm">
                <w:txbxContent>
                  <w:p>
                    <w:pPr>
                      <w:spacing w:before="0" w:line="228" w:lineRule="exact"/>
                      <w:ind w:left="20" w:right="0" w:firstLine="0"/>
                      <w:jc w:val="left"/>
                      <w:rPr>
                        <w:rFonts w:ascii="等线"/>
                        <w:sz w:val="18"/>
                      </w:rPr>
                    </w:pPr>
                    <w:r>
                      <w:rPr>
                        <w:rFonts w:ascii="等线"/>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3694430</wp:posOffset>
              </wp:positionH>
              <wp:positionV relativeFrom="page">
                <wp:posOffset>9756775</wp:posOffset>
              </wp:positionV>
              <wp:extent cx="172085" cy="14478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72085" cy="144780"/>
                      </a:xfrm>
                      <a:prstGeom prst="rect">
                        <a:avLst/>
                      </a:prstGeom>
                      <a:noFill/>
                      <a:ln>
                        <a:noFill/>
                      </a:ln>
                    </wps:spPr>
                    <wps:txbx>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8" o:spid="_x0000_s1026" o:spt="202" type="#_x0000_t202" style="position:absolute;left:0pt;margin-left:290.9pt;margin-top:768.25pt;height:11.4pt;width:13.55pt;mso-position-horizontal-relative:page;mso-position-vertical-relative:page;z-index:-251655168;mso-width-relative:page;mso-height-relative:page;" filled="f" stroked="f" coordsize="21600,21600" o:gfxdata="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QYQV9oAAAANAQAADwAAAAAAAAABACAAAAAiAAAAZHJzL2Rvd25yZXYueG1s&#10;UEsBAhQAFAAAAAgAh07iQJiTYIC9AQAAdAMAAA4AAAAAAAAAAQAgAAAAKQEAAGRycy9lMm9Eb2Mu&#10;eG1sUEsFBgAAAAAGAAYAWQEAAFgFAAAAAA==&#10;">
              <v:fill on="f" focussize="0,0"/>
              <v:stroke on="f"/>
              <v:imagedata o:title=""/>
              <o:lock v:ext="edit" aspectratio="f"/>
              <v:textbox inset="0mm,0mm,0mm,0mm">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3724910</wp:posOffset>
              </wp:positionH>
              <wp:positionV relativeFrom="page">
                <wp:posOffset>9756775</wp:posOffset>
              </wp:positionV>
              <wp:extent cx="111125" cy="14478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11125" cy="144780"/>
                      </a:xfrm>
                      <a:prstGeom prst="rect">
                        <a:avLst/>
                      </a:prstGeom>
                      <a:noFill/>
                      <a:ln>
                        <a:noFill/>
                      </a:ln>
                    </wps:spPr>
                    <wps:txbx>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1029" o:spid="_x0000_s1026" o:spt="202" type="#_x0000_t202" style="position:absolute;left:0pt;margin-left:293.3pt;margin-top:768.25pt;height:11.4pt;width:8.75pt;mso-position-horizontal-relative:page;mso-position-vertical-relative:page;z-index:-251656192;mso-width-relative:page;mso-height-relative:page;" filled="f" stroked="f" coordsize="21600,21600" o:gfxdata="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JoJkdoAAAANAQAADwAAAAAAAAABACAAAAAiAAAAZHJzL2Rvd25yZXYueG1s&#10;UEsBAhQAFAAAAAgAh07iQOGN3DC9AQAAdAMAAA4AAAAAAAAAAQAgAAAAKQEAAGRycy9lMm9Eb2Mu&#10;eG1sUEsFBgAAAAAGAAYAWQEAAFgFAAAAAA==&#10;">
              <v:fill on="f" focussize="0,0"/>
              <v:stroke on="f"/>
              <v:imagedata o:title=""/>
              <o:lock v:ext="edit" aspectratio="f"/>
              <v:textbox inset="0mm,0mm,0mm,0mm">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04FB2"/>
    <w:multiLevelType w:val="multilevel"/>
    <w:tmpl w:val="32F04FB2"/>
    <w:lvl w:ilvl="0" w:tentative="0">
      <w:start w:val="1"/>
      <w:numFmt w:val="lowerLetter"/>
      <w:pStyle w:val="1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
    <w:nsid w:val="646260FA"/>
    <w:multiLevelType w:val="multilevel"/>
    <w:tmpl w:val="646260FA"/>
    <w:lvl w:ilvl="0" w:tentative="0">
      <w:start w:val="1"/>
      <w:numFmt w:val="decimal"/>
      <w:pStyle w:val="12"/>
      <w:suff w:val="nothing"/>
      <w:lvlText w:val="表%1　"/>
      <w:lvlJc w:val="left"/>
      <w:pPr>
        <w:ind w:left="315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1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NTRjYWU1NzFiZjA2ZjdlYTE0ZWM4NWY1ZGMxZGMifQ=="/>
  </w:docVars>
  <w:rsids>
    <w:rsidRoot w:val="00000000"/>
    <w:rsid w:val="00E371FE"/>
    <w:rsid w:val="01B021E0"/>
    <w:rsid w:val="020B07BA"/>
    <w:rsid w:val="03F27AF3"/>
    <w:rsid w:val="097C37DD"/>
    <w:rsid w:val="0B100BEF"/>
    <w:rsid w:val="0ECB5EE2"/>
    <w:rsid w:val="0ECC307F"/>
    <w:rsid w:val="0F8A718B"/>
    <w:rsid w:val="10B42603"/>
    <w:rsid w:val="112F78F5"/>
    <w:rsid w:val="13EE5846"/>
    <w:rsid w:val="13FB2291"/>
    <w:rsid w:val="156E1CC9"/>
    <w:rsid w:val="19A30E80"/>
    <w:rsid w:val="19D366CD"/>
    <w:rsid w:val="1B8076CB"/>
    <w:rsid w:val="1D6B2295"/>
    <w:rsid w:val="1F343816"/>
    <w:rsid w:val="1FD824B6"/>
    <w:rsid w:val="21102C58"/>
    <w:rsid w:val="21D95D87"/>
    <w:rsid w:val="239260E4"/>
    <w:rsid w:val="251315B0"/>
    <w:rsid w:val="27421CD9"/>
    <w:rsid w:val="282C4737"/>
    <w:rsid w:val="29A7676B"/>
    <w:rsid w:val="29D37560"/>
    <w:rsid w:val="2AEC348F"/>
    <w:rsid w:val="2B6A5CA2"/>
    <w:rsid w:val="2BC31531"/>
    <w:rsid w:val="2C2969A5"/>
    <w:rsid w:val="2CE0514B"/>
    <w:rsid w:val="30D11A3C"/>
    <w:rsid w:val="32290665"/>
    <w:rsid w:val="331C1464"/>
    <w:rsid w:val="33377E77"/>
    <w:rsid w:val="342460CE"/>
    <w:rsid w:val="34633683"/>
    <w:rsid w:val="34EC432E"/>
    <w:rsid w:val="357D4786"/>
    <w:rsid w:val="362D1DA6"/>
    <w:rsid w:val="389042B8"/>
    <w:rsid w:val="3B7E1FB5"/>
    <w:rsid w:val="3DA0641F"/>
    <w:rsid w:val="3EED47C8"/>
    <w:rsid w:val="3F2301EA"/>
    <w:rsid w:val="3FC45529"/>
    <w:rsid w:val="40861C4D"/>
    <w:rsid w:val="4157061F"/>
    <w:rsid w:val="4171348E"/>
    <w:rsid w:val="41EF0857"/>
    <w:rsid w:val="42391A58"/>
    <w:rsid w:val="42472441"/>
    <w:rsid w:val="444A51D4"/>
    <w:rsid w:val="44C62CED"/>
    <w:rsid w:val="459B0B00"/>
    <w:rsid w:val="4691012F"/>
    <w:rsid w:val="4B5D5A86"/>
    <w:rsid w:val="4B6B0F4E"/>
    <w:rsid w:val="4B763F1E"/>
    <w:rsid w:val="4C43705B"/>
    <w:rsid w:val="4D820C3A"/>
    <w:rsid w:val="4EE76759"/>
    <w:rsid w:val="4F70209D"/>
    <w:rsid w:val="51CE0489"/>
    <w:rsid w:val="52D721DB"/>
    <w:rsid w:val="53CB1DFE"/>
    <w:rsid w:val="54CF07A0"/>
    <w:rsid w:val="57720C71"/>
    <w:rsid w:val="57AA71F4"/>
    <w:rsid w:val="57BB665C"/>
    <w:rsid w:val="58F72E07"/>
    <w:rsid w:val="5BBD57F6"/>
    <w:rsid w:val="5BFD3E45"/>
    <w:rsid w:val="5CD101C8"/>
    <w:rsid w:val="5FFF2FAE"/>
    <w:rsid w:val="61827739"/>
    <w:rsid w:val="63BC6393"/>
    <w:rsid w:val="679C637A"/>
    <w:rsid w:val="687F0FF8"/>
    <w:rsid w:val="6BC602F1"/>
    <w:rsid w:val="6CD429A0"/>
    <w:rsid w:val="6DBE0F5A"/>
    <w:rsid w:val="6ED722D3"/>
    <w:rsid w:val="6F4F19BD"/>
    <w:rsid w:val="6F6451D9"/>
    <w:rsid w:val="71F72C8D"/>
    <w:rsid w:val="75202C1F"/>
    <w:rsid w:val="76D811A8"/>
    <w:rsid w:val="77D2040B"/>
    <w:rsid w:val="7DFA5FDE"/>
    <w:rsid w:val="7E8F4979"/>
    <w:rsid w:val="7F3A41CA"/>
    <w:rsid w:val="7F4D0390"/>
    <w:rsid w:val="7FCA1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440"/>
      <w:outlineLvl w:val="1"/>
    </w:pPr>
    <w:rPr>
      <w:rFonts w:ascii="宋体" w:hAnsi="宋体" w:eastAsia="宋体" w:cs="宋体"/>
      <w:b/>
      <w:bCs/>
      <w:sz w:val="32"/>
      <w:szCs w:val="32"/>
      <w:lang w:val="zh-CN" w:eastAsia="zh-CN" w:bidi="zh-CN"/>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5">
    <w:name w:val="toc 1"/>
    <w:basedOn w:val="1"/>
    <w:next w:val="1"/>
    <w:qFormat/>
    <w:uiPriority w:val="1"/>
    <w:pPr>
      <w:spacing w:before="119"/>
      <w:ind w:left="440"/>
    </w:pPr>
    <w:rPr>
      <w:rFonts w:ascii="宋体" w:hAnsi="宋体" w:eastAsia="宋体" w:cs="宋体"/>
      <w:sz w:val="21"/>
      <w:szCs w:val="21"/>
      <w:lang w:val="zh-CN" w:eastAsia="zh-CN" w:bidi="zh-CN"/>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line="357" w:lineRule="exact"/>
      <w:ind w:left="1422" w:hanging="424"/>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 w:type="paragraph" w:customStyle="1" w:styleId="12">
    <w:name w:val="标准文件_正文表标题"/>
    <w:next w:val="13"/>
    <w:qFormat/>
    <w:uiPriority w:val="0"/>
    <w:pPr>
      <w:numPr>
        <w:ilvl w:val="0"/>
        <w:numId w:val="1"/>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标准文件_表格"/>
    <w:basedOn w:val="13"/>
    <w:qFormat/>
    <w:uiPriority w:val="0"/>
    <w:pPr>
      <w:ind w:firstLine="0" w:firstLineChars="0"/>
      <w:jc w:val="center"/>
    </w:pPr>
    <w:rPr>
      <w:sz w:val="18"/>
    </w:rPr>
  </w:style>
  <w:style w:type="paragraph" w:customStyle="1" w:styleId="15">
    <w:name w:val="标准文件_图表脚注"/>
    <w:basedOn w:val="1"/>
    <w:next w:val="13"/>
    <w:qFormat/>
    <w:uiPriority w:val="0"/>
    <w:pPr>
      <w:numPr>
        <w:ilvl w:val="0"/>
        <w:numId w:val="2"/>
      </w:numPr>
      <w:spacing w:line="240" w:lineRule="auto"/>
      <w:jc w:val="left"/>
    </w:pPr>
    <w:rPr>
      <w:rFonts w:ascii="宋体" w:hAnsi="宋体"/>
      <w:sz w:val="18"/>
    </w:rPr>
  </w:style>
  <w:style w:type="paragraph" w:customStyle="1" w:styleId="16">
    <w:name w:val="标准文件_二级无标题"/>
    <w:basedOn w:val="17"/>
    <w:qFormat/>
    <w:uiPriority w:val="0"/>
    <w:pPr>
      <w:spacing w:before="0" w:beforeLines="0" w:after="0" w:afterLines="0"/>
      <w:outlineLvl w:val="9"/>
    </w:pPr>
    <w:rPr>
      <w:rFonts w:ascii="宋体" w:eastAsia="宋体"/>
    </w:rPr>
  </w:style>
  <w:style w:type="paragraph" w:customStyle="1" w:styleId="17">
    <w:name w:val="标准文件_二级条标题"/>
    <w:next w:val="13"/>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9">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3953</Words>
  <Characters>4453</Characters>
  <TotalTime>0</TotalTime>
  <ScaleCrop>false</ScaleCrop>
  <LinksUpToDate>false</LinksUpToDate>
  <CharactersWithSpaces>4583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2022-06-27T08:58:00Z</dcterms:created>
  <dc:creator>LF</dc:creator>
  <cp:lastModifiedBy>Yolanda</cp:lastModifiedBy>
  <dcterms:modified xsi:type="dcterms:W3CDTF">2022-07-13T02:14:16Z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WPS 文字</vt:lpwstr>
  </property>
  <property fmtid="{D5CDD505-2E9C-101B-9397-08002B2CF9AE}" pid="4" name="LastSaved">
    <vt:filetime>2022-06-27T00:00:00Z</vt:filetime>
  </property>
  <property fmtid="{D5CDD505-2E9C-101B-9397-08002B2CF9AE}" pid="5" name="KSOProductBuildVer">
    <vt:lpwstr>2052-11.1.0.11830</vt:lpwstr>
  </property>
  <property fmtid="{D5CDD505-2E9C-101B-9397-08002B2CF9AE}" pid="6" name="ICV">
    <vt:lpwstr>CAE3E514CD6E40CBAA83BD70D0D44AEC</vt:lpwstr>
  </property>
</Properties>
</file>